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F4E79"/>
          <w:sz w:val="30"/>
        </w:rPr>
        <w:t>TRẢ LỜI 4 CÂU HỎI CỦA THẦY NGUYỄN MINH ĐỨC</w:t>
      </w:r>
    </w:p>
    <w:p>
      <w:pPr>
        <w:spacing w:before="240" w:after="160"/>
        <w:jc w:val="center"/>
      </w:pPr>
      <w:r>
        <w:rPr>
          <w:rFonts w:ascii="Times New Roman" w:hAnsi="Times New Roman"/>
          <w:b/>
          <w:color w:val="1F4E79"/>
          <w:sz w:val="22"/>
        </w:rPr>
        <w:t>Hệ số β trong bài Hoàng Trung Học + Viết tắt họ kép + Tên tạp chí BMC Psychiatry</w:t>
      </w:r>
    </w:p>
    <w:p>
      <w:pPr>
        <w:jc w:val="center"/>
      </w:pPr>
      <w:r>
        <w:rPr>
          <w:rFonts w:ascii="Times New Roman" w:hAnsi="Times New Roman"/>
          <w:i/>
          <w:color w:val="808080"/>
          <w:sz w:val="20"/>
        </w:rPr>
        <w:t>Tài liệu trả lời nội bộ — Soạn 08/06/2026</w:t>
      </w:r>
    </w:p>
    <w:p>
      <w:pPr>
        <w:spacing w:before="280" w:after="120"/>
      </w:pPr>
      <w:r>
        <w:rPr>
          <w:rFonts w:ascii="Times New Roman" w:hAnsi="Times New Roman"/>
          <w:b/>
          <w:color w:val="C00000"/>
          <w:sz w:val="26"/>
        </w:rPr>
        <w:t>CÂU 1 + 2 — Ý NGHĨA HỆ SỐ β = 0,176 VÀ 0,258 TRONG BÀI HOÀNG TRUNG HỌC</w:t>
      </w:r>
    </w:p>
    <w:p>
      <w:pPr>
        <w:spacing w:after="80"/>
        <w:ind w:left="283"/>
      </w:pPr>
      <w:r>
        <w:rPr>
          <w:rFonts w:ascii="Times New Roman" w:hAnsi="Times New Roman"/>
          <w:b/>
          <w:color w:val="C00000"/>
          <w:sz w:val="22"/>
        </w:rPr>
        <w:t xml:space="preserve">Câu hỏi thầy NMĐ: </w:t>
      </w:r>
      <w:r>
        <w:rPr>
          <w:rFonts w:ascii="Times New Roman" w:hAnsi="Times New Roman"/>
          <w:i/>
          <w:sz w:val="22"/>
        </w:rPr>
        <w:t>"Trong bài của Hoàng Trung Học, thầy vẫn chưa hiểu tác giả giải thích "thời gian sử dụng máy tính và điện thoại", với hệ số Beta là 0,176 trong giai đoạn Covid-19 (β= 0,176, xem Bảng 6) và 0,258 sau Covid-19 (β= 0,258) nghĩa là như thế nào? Đáng lẽ phải xác định đấy là yếu tố nguy cơ và đưa ra kết quả β âm thì dễ hiểu hơn"</w:t>
      </w:r>
    </w:p>
    <w:p>
      <w:pPr>
        <w:spacing w:before="160" w:after="60"/>
      </w:pPr>
      <w:r>
        <w:rPr>
          <w:rFonts w:ascii="Times New Roman" w:hAnsi="Times New Roman"/>
          <w:b/>
          <w:color w:val="2E74B5"/>
          <w:sz w:val="24"/>
        </w:rPr>
        <w:t>Trước hết — Quy ước về dấu của hệ số β trong hồi quy/SEM</w:t>
      </w:r>
    </w:p>
    <w:p>
      <w:pPr>
        <w:spacing w:after="80"/>
        <w:ind w:firstLine="283"/>
        <w:jc w:val="both"/>
      </w:pPr>
      <w:r>
        <w:rPr>
          <w:rFonts w:ascii="Times New Roman" w:hAnsi="Times New Roman"/>
          <w:sz w:val="22"/>
        </w:rPr>
        <w:t>Dấu (+ hay −) của hệ số β phụ thuộc HOÀN TOÀN vào hướng đo lường của biến phụ thuộc (outcome). Em xin trình bày bảng đối chiếu để thầy đối chiếu:</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color w:val="FFFFFF"/>
                <w:sz w:val="20"/>
              </w:rPr>
              <w:t>Biến phụ thuộc (outcome)</w:t>
            </w:r>
          </w:p>
        </w:tc>
        <w:tc>
          <w:tcPr>
            <w:tcW w:type="dxa" w:w="3324"/>
          </w:tcPr>
          <w:p>
            <w:r/>
            <w:r>
              <w:rPr>
                <w:b/>
                <w:color w:val="FFFFFF"/>
                <w:sz w:val="20"/>
              </w:rPr>
              <w:t>Yếu tố NGUY CƠ có β = ...</w:t>
            </w:r>
          </w:p>
        </w:tc>
        <w:tc>
          <w:tcPr>
            <w:tcW w:type="dxa" w:w="3324"/>
          </w:tcPr>
          <w:p>
            <w:r/>
            <w:r>
              <w:rPr>
                <w:b/>
                <w:color w:val="FFFFFF"/>
                <w:sz w:val="20"/>
              </w:rPr>
              <w:t>Yếu tố BẢO VỆ có β = ...</w:t>
            </w:r>
          </w:p>
        </w:tc>
      </w:tr>
      <w:tr>
        <w:tc>
          <w:tcPr>
            <w:tcW w:type="dxa" w:w="3324"/>
          </w:tcPr>
          <w:p>
            <w:r/>
            <w:r>
              <w:rPr>
                <w:b/>
                <w:sz w:val="20"/>
              </w:rPr>
              <w:t>Triệu chứng TIÊU CỰC (lo âu, trầm cảm, stress, thời gian không lành mạnh, hành vi rủi ro)</w:t>
            </w:r>
          </w:p>
        </w:tc>
        <w:tc>
          <w:tcPr>
            <w:tcW w:type="dxa" w:w="3324"/>
          </w:tcPr>
          <w:p>
            <w:r/>
            <w:r>
              <w:rPr>
                <w:sz w:val="20"/>
              </w:rPr>
              <w:t>DƯƠNG (+) — nguy cơ tăng → triệu chứng tăng</w:t>
            </w:r>
          </w:p>
        </w:tc>
        <w:tc>
          <w:tcPr>
            <w:tcW w:type="dxa" w:w="3324"/>
          </w:tcPr>
          <w:p>
            <w:r/>
            <w:r>
              <w:rPr>
                <w:sz w:val="20"/>
              </w:rPr>
              <w:t>ÂM (−) — bảo vệ tăng → triệu chứng giảm</w:t>
            </w:r>
          </w:p>
        </w:tc>
      </w:tr>
      <w:tr>
        <w:tc>
          <w:tcPr>
            <w:tcW w:type="dxa" w:w="3324"/>
          </w:tcPr>
          <w:p>
            <w:r/>
            <w:r>
              <w:rPr>
                <w:b/>
                <w:sz w:val="20"/>
              </w:rPr>
              <w:t>Sức khỏe tâm thần TÍCH CỰC (well-being, hạnh phúc, gắn bó trường, lòng tự trọng, kết quả học tập)</w:t>
            </w:r>
          </w:p>
        </w:tc>
        <w:tc>
          <w:tcPr>
            <w:tcW w:type="dxa" w:w="3324"/>
          </w:tcPr>
          <w:p>
            <w:r/>
            <w:r>
              <w:rPr>
                <w:sz w:val="20"/>
              </w:rPr>
              <w:t>ÂM (−) — nguy cơ tăng → tích cực giảm</w:t>
            </w:r>
          </w:p>
        </w:tc>
        <w:tc>
          <w:tcPr>
            <w:tcW w:type="dxa" w:w="3324"/>
          </w:tcPr>
          <w:p>
            <w:r/>
            <w:r>
              <w:rPr>
                <w:sz w:val="20"/>
              </w:rPr>
              <w:t>DƯƠNG (+) — bảo vệ tăng → tích cực tăng</w:t>
            </w:r>
          </w:p>
        </w:tc>
      </w:tr>
    </w:tbl>
    <w:p>
      <w:pPr>
        <w:spacing w:before="160"/>
      </w:pPr>
    </w:p>
    <w:p>
      <w:pPr>
        <w:spacing w:before="160" w:after="60"/>
      </w:pPr>
      <w:r>
        <w:rPr>
          <w:rFonts w:ascii="Times New Roman" w:hAnsi="Times New Roman"/>
          <w:b/>
          <w:color w:val="2E74B5"/>
          <w:sz w:val="24"/>
        </w:rPr>
        <w:t>Áp dụng vào bài Hoàng Trung Học</w:t>
      </w:r>
    </w:p>
    <w:p>
      <w:pPr>
        <w:spacing w:after="80"/>
        <w:ind w:firstLine="283"/>
        <w:jc w:val="both"/>
      </w:pPr>
      <w:r>
        <w:rPr>
          <w:rFonts w:ascii="Times New Roman" w:hAnsi="Times New Roman"/>
          <w:sz w:val="22"/>
        </w:rPr>
        <w:t>Em phỏng đoán bài Hoàng Trung Học có biến phụ thuộc là một TRIỆU CHỨNG TIÊU CỰC (lo âu, trầm cảm, stress học tập, hoặc rối loạn sức khỏe tâm thần nói chung). Nếu đúng vậy:</w:t>
      </w:r>
    </w:p>
    <w:p>
      <w:pPr>
        <w:spacing w:after="60"/>
        <w:ind w:left="425"/>
        <w:jc w:val="both"/>
      </w:pPr>
      <w:r>
        <w:rPr>
          <w:rFonts w:ascii="Times New Roman" w:hAnsi="Times New Roman"/>
          <w:sz w:val="22"/>
        </w:rPr>
        <w:t>• β = +0,176 (giai đoạn COVID-19): nghĩa là thời gian sử dụng máy tính + điện thoại CÀNG NHIỀU → triệu chứng CÀNG TĂNG. Đây CHÍNH LÀ dấu hiệu của một YẾU TỐ NGUY CƠ — đúng như thầy đã hiểu</w:t>
      </w:r>
    </w:p>
    <w:p>
      <w:pPr>
        <w:spacing w:after="60"/>
        <w:ind w:left="425"/>
        <w:jc w:val="both"/>
      </w:pPr>
      <w:r>
        <w:rPr>
          <w:rFonts w:ascii="Times New Roman" w:hAnsi="Times New Roman"/>
          <w:sz w:val="22"/>
        </w:rPr>
        <w:t>• β = +0,258 (sau COVID-19): mối liên hệ này MẠNH HƠN ở giai đoạn hậu đại dịch — tức là khi học sinh đi học trở lại, yếu tố nguy cơ "thời gian dùng thiết bị" càng quan trọng hơn</w:t>
      </w:r>
    </w:p>
    <w:p>
      <w:pPr>
        <w:spacing w:after="60"/>
        <w:ind w:left="425"/>
        <w:jc w:val="both"/>
      </w:pPr>
      <w:r>
        <w:rPr>
          <w:rFonts w:ascii="Times New Roman" w:hAnsi="Times New Roman"/>
          <w:sz w:val="22"/>
        </w:rPr>
        <w:t>• Tác giả KHÔNG cần và KHÔNG NÊN đảo dấu sang β âm — vì sẽ làm thay đổi ý nghĩa thực tế</w:t>
      </w:r>
    </w:p>
    <w:p>
      <w:pPr>
        <w:spacing w:before="160" w:after="60"/>
      </w:pPr>
      <w:r>
        <w:rPr>
          <w:rFonts w:ascii="Times New Roman" w:hAnsi="Times New Roman"/>
          <w:b/>
          <w:color w:val="2E74B5"/>
          <w:sz w:val="24"/>
        </w:rPr>
        <w:t>Cỡ hiệu ứng (effect size) theo chuẩn Cohen 1988</w:t>
      </w:r>
    </w:p>
    <w:p>
      <w:pPr>
        <w:spacing w:after="60"/>
        <w:ind w:left="425"/>
        <w:jc w:val="both"/>
      </w:pPr>
      <w:r>
        <w:rPr>
          <w:rFonts w:ascii="Times New Roman" w:hAnsi="Times New Roman"/>
          <w:sz w:val="22"/>
        </w:rPr>
        <w:t>• β = 0,176 ≈ hiệu ứng NHỎ-VỪA (Cohen quy ước: 0,10 = nhỏ; 0,30 = vừa; 0,50 = lớn)</w:t>
      </w:r>
    </w:p>
    <w:p>
      <w:pPr>
        <w:spacing w:after="60"/>
        <w:ind w:left="425"/>
        <w:jc w:val="both"/>
      </w:pPr>
      <w:r>
        <w:rPr>
          <w:rFonts w:ascii="Times New Roman" w:hAnsi="Times New Roman"/>
          <w:sz w:val="22"/>
        </w:rPr>
        <w:t>• β = 0,258 ≈ hiệu ứng VỪA — đáng chú ý về mặt thực tiễn</w:t>
      </w:r>
    </w:p>
    <w:p>
      <w:pPr>
        <w:spacing w:after="60"/>
        <w:ind w:left="425"/>
        <w:jc w:val="both"/>
      </w:pPr>
      <w:r>
        <w:rPr>
          <w:rFonts w:ascii="Times New Roman" w:hAnsi="Times New Roman"/>
          <w:sz w:val="22"/>
        </w:rPr>
        <w:t>• Mức tăng từ 0,176 lên 0,258 (tăng khoảng 47%) cho thấy yếu tố nguy cơ này MẠNH lên đáng kể sau đại dịch — phù hợp với xu hướng quốc tế ghi nhận học sinh dùng thiết bị nhiều hơn sau COVID</w:t>
      </w:r>
    </w:p>
    <w:p>
      <w:pPr>
        <w:spacing w:before="160" w:after="60"/>
      </w:pPr>
      <w:r>
        <w:rPr>
          <w:rFonts w:ascii="Times New Roman" w:hAnsi="Times New Roman"/>
          <w:b/>
          <w:color w:val="2E74B5"/>
          <w:sz w:val="24"/>
        </w:rPr>
        <w:t>Khi nào yếu tố nguy cơ MỚI có β âm?</w:t>
      </w:r>
    </w:p>
    <w:p>
      <w:pPr>
        <w:spacing w:after="80"/>
        <w:ind w:firstLine="283"/>
        <w:jc w:val="both"/>
      </w:pPr>
      <w:r>
        <w:rPr>
          <w:rFonts w:ascii="Times New Roman" w:hAnsi="Times New Roman"/>
          <w:sz w:val="22"/>
        </w:rPr>
        <w:t>Nếu thầy đã từng đọc các bài có yếu tố nguy cơ với β âm, có lẽ biến phụ thuộc trong các bài đó là MỘT BIẾN TÍCH CỰC (gắn bó với trường, lòng tự trọng, hạnh phúc học đường…). Ở khung này:</w:t>
      </w:r>
    </w:p>
    <w:p>
      <w:pPr>
        <w:spacing w:after="60"/>
        <w:ind w:left="425"/>
        <w:jc w:val="both"/>
      </w:pPr>
      <w:r>
        <w:rPr>
          <w:rFonts w:ascii="Times New Roman" w:hAnsi="Times New Roman"/>
          <w:sz w:val="22"/>
        </w:rPr>
        <w:t>• Yếu tố nguy cơ (vd: bắt nạt, áp lực học tập) làm GIẢM biến tích cực → β âm</w:t>
      </w:r>
    </w:p>
    <w:p>
      <w:pPr>
        <w:spacing w:after="60"/>
        <w:ind w:left="425"/>
        <w:jc w:val="both"/>
      </w:pPr>
      <w:r>
        <w:rPr>
          <w:rFonts w:ascii="Times New Roman" w:hAnsi="Times New Roman"/>
          <w:sz w:val="22"/>
        </w:rPr>
        <w:t>• Yếu tố bảo vệ (vd: hỗ trợ cha mẹ) làm TĂNG biến tích cực → β dương</w:t>
      </w:r>
    </w:p>
    <w:p>
      <w:pPr>
        <w:spacing w:after="80"/>
        <w:ind w:firstLine="283"/>
        <w:jc w:val="both"/>
      </w:pPr>
      <w:r>
        <w:rPr>
          <w:rFonts w:ascii="Times New Roman" w:hAnsi="Times New Roman"/>
          <w:sz w:val="22"/>
        </w:rPr>
        <w:t>Như vậy, không có quy luật cố định "yếu tố nguy cơ phải có β âm" — mọi thứ phụ thuộc vào hướng đo của biến phụ thuộc.</w:t>
      </w:r>
    </w:p>
    <w:p>
      <w:pPr>
        <w:spacing w:before="280" w:after="120"/>
      </w:pPr>
      <w:r>
        <w:rPr>
          <w:rFonts w:ascii="Times New Roman" w:hAnsi="Times New Roman"/>
          <w:b/>
          <w:color w:val="C00000"/>
          <w:sz w:val="26"/>
        </w:rPr>
        <w:t>CÂU 3 — DAKOTA KING-WHITE VIẾT TẮT LÀ KING-WHITE D.</w:t>
      </w:r>
    </w:p>
    <w:p>
      <w:pPr>
        <w:spacing w:after="80"/>
        <w:ind w:left="283"/>
      </w:pPr>
      <w:r>
        <w:rPr>
          <w:rFonts w:ascii="Times New Roman" w:hAnsi="Times New Roman"/>
          <w:b/>
          <w:color w:val="C00000"/>
          <w:sz w:val="22"/>
        </w:rPr>
        <w:t xml:space="preserve">Câu hỏi thầy NMĐ: </w:t>
      </w:r>
      <w:r>
        <w:rPr>
          <w:rFonts w:ascii="Times New Roman" w:hAnsi="Times New Roman"/>
          <w:i/>
          <w:sz w:val="22"/>
        </w:rPr>
        <w:t>"Dakota King-White thì chuyển thành King-White D., phải không Em?"</w:t>
      </w:r>
    </w:p>
    <w:p>
      <w:pPr>
        <w:spacing w:after="80"/>
        <w:ind w:firstLine="283"/>
        <w:jc w:val="both"/>
      </w:pPr>
      <w:r>
        <w:rPr>
          <w:rFonts w:ascii="Times New Roman" w:hAnsi="Times New Roman"/>
          <w:sz w:val="22"/>
        </w:rPr>
        <w:t>Em xác nhận thầy hoàn toàn đúng ạ. Cách viết tắt chính xác là **King-White D.**</w:t>
      </w:r>
    </w:p>
    <w:p>
      <w:pPr>
        <w:spacing w:before="160" w:after="60"/>
      </w:pPr>
      <w:r>
        <w:rPr>
          <w:rFonts w:ascii="Times New Roman" w:hAnsi="Times New Roman"/>
          <w:b/>
          <w:color w:val="2E74B5"/>
          <w:sz w:val="24"/>
        </w:rPr>
        <w:t>Lý do</w:t>
      </w:r>
    </w:p>
    <w:tbl>
      <w:tblPr>
        <w:tblStyle w:val="LightGrid-Accent1"/>
        <w:tblW w:type="auto" w:w="0"/>
        <w:tblLook w:firstColumn="1" w:firstRow="1" w:lastColumn="0" w:lastRow="0" w:noHBand="0" w:noVBand="1" w:val="04A0"/>
      </w:tblPr>
      <w:tblGrid>
        <w:gridCol w:w="4986"/>
        <w:gridCol w:w="4986"/>
      </w:tblGrid>
      <w:tr>
        <w:tc>
          <w:tcPr>
            <w:tcW w:type="dxa" w:w="4986"/>
          </w:tcPr>
          <w:p>
            <w:r/>
            <w:r>
              <w:rPr>
                <w:b/>
                <w:color w:val="FFFFFF"/>
                <w:sz w:val="20"/>
              </w:rPr>
              <w:t>Thành phần</w:t>
            </w:r>
          </w:p>
        </w:tc>
        <w:tc>
          <w:tcPr>
            <w:tcW w:type="dxa" w:w="4986"/>
          </w:tcPr>
          <w:p>
            <w:r/>
            <w:r>
              <w:rPr>
                <w:b/>
                <w:color w:val="FFFFFF"/>
                <w:sz w:val="20"/>
              </w:rPr>
              <w:t>Giá trị</w:t>
            </w:r>
          </w:p>
        </w:tc>
      </w:tr>
      <w:tr>
        <w:tc>
          <w:tcPr>
            <w:tcW w:type="dxa" w:w="4986"/>
          </w:tcPr>
          <w:p>
            <w:r/>
            <w:r>
              <w:rPr>
                <w:b/>
                <w:sz w:val="20"/>
              </w:rPr>
              <w:t>Tên đầy đủ</w:t>
            </w:r>
          </w:p>
        </w:tc>
        <w:tc>
          <w:tcPr>
            <w:tcW w:type="dxa" w:w="4986"/>
          </w:tcPr>
          <w:p>
            <w:r/>
            <w:r>
              <w:rPr>
                <w:sz w:val="20"/>
              </w:rPr>
              <w:t>Dakota King-White</w:t>
            </w:r>
          </w:p>
        </w:tc>
      </w:tr>
      <w:tr>
        <w:tc>
          <w:tcPr>
            <w:tcW w:type="dxa" w:w="4986"/>
          </w:tcPr>
          <w:p>
            <w:r/>
            <w:r>
              <w:rPr>
                <w:b/>
                <w:sz w:val="20"/>
              </w:rPr>
              <w:t>Tên (given name)</w:t>
            </w:r>
          </w:p>
        </w:tc>
        <w:tc>
          <w:tcPr>
            <w:tcW w:type="dxa" w:w="4986"/>
          </w:tcPr>
          <w:p>
            <w:r/>
            <w:r>
              <w:rPr>
                <w:sz w:val="20"/>
              </w:rPr>
              <w:t>Dakota</w:t>
            </w:r>
          </w:p>
        </w:tc>
      </w:tr>
      <w:tr>
        <w:tc>
          <w:tcPr>
            <w:tcW w:type="dxa" w:w="4986"/>
          </w:tcPr>
          <w:p>
            <w:r/>
            <w:r>
              <w:rPr>
                <w:b/>
                <w:sz w:val="20"/>
              </w:rPr>
              <w:t>Họ (family name) — họ kép có dấu nối</w:t>
            </w:r>
          </w:p>
        </w:tc>
        <w:tc>
          <w:tcPr>
            <w:tcW w:type="dxa" w:w="4986"/>
          </w:tcPr>
          <w:p>
            <w:r/>
            <w:r>
              <w:rPr>
                <w:sz w:val="20"/>
              </w:rPr>
              <w:t>King-White</w:t>
            </w:r>
          </w:p>
        </w:tc>
      </w:tr>
      <w:tr>
        <w:tc>
          <w:tcPr>
            <w:tcW w:type="dxa" w:w="4986"/>
          </w:tcPr>
          <w:p>
            <w:r/>
            <w:r>
              <w:rPr>
                <w:b/>
                <w:sz w:val="20"/>
              </w:rPr>
              <w:t>Viết tắt chuẩn (PubMed + APA + Vancouver)</w:t>
            </w:r>
          </w:p>
        </w:tc>
        <w:tc>
          <w:tcPr>
            <w:tcW w:type="dxa" w:w="4986"/>
          </w:tcPr>
          <w:p>
            <w:r/>
            <w:r>
              <w:rPr>
                <w:sz w:val="20"/>
              </w:rPr>
              <w:t>King-White D.</w:t>
            </w:r>
          </w:p>
        </w:tc>
      </w:tr>
    </w:tbl>
    <w:p>
      <w:pPr>
        <w:spacing w:before="160"/>
      </w:pPr>
    </w:p>
    <w:p>
      <w:pPr>
        <w:spacing w:before="160" w:after="60"/>
      </w:pPr>
      <w:r>
        <w:rPr>
          <w:rFonts w:ascii="Times New Roman" w:hAnsi="Times New Roman"/>
          <w:b/>
          <w:color w:val="2E74B5"/>
          <w:sz w:val="24"/>
        </w:rPr>
        <w:t>Quy tắc về họ kép</w:t>
      </w:r>
    </w:p>
    <w:p>
      <w:pPr>
        <w:spacing w:after="60"/>
        <w:ind w:left="425"/>
        <w:jc w:val="both"/>
      </w:pPr>
      <w:r>
        <w:rPr>
          <w:rFonts w:ascii="Times New Roman" w:hAnsi="Times New Roman"/>
          <w:sz w:val="22"/>
        </w:rPr>
        <w:t>• Họ kép có dấu nối (hyphenated double surname) phải viết NGUYÊN vẹn cả 2 phần — không tách rời, không bỏ phần nào</w:t>
      </w:r>
    </w:p>
    <w:p>
      <w:pPr>
        <w:spacing w:after="60"/>
        <w:ind w:left="425"/>
        <w:jc w:val="both"/>
      </w:pPr>
      <w:r>
        <w:rPr>
          <w:rFonts w:ascii="Times New Roman" w:hAnsi="Times New Roman"/>
          <w:sz w:val="22"/>
        </w:rPr>
        <w:t>• Sai (KHÔNG NÊN): "King W." hoặc "White D." — sẽ làm mất một phần họ</w:t>
      </w:r>
    </w:p>
    <w:p>
      <w:pPr>
        <w:spacing w:after="60"/>
        <w:ind w:left="425"/>
        <w:jc w:val="both"/>
      </w:pPr>
      <w:r>
        <w:rPr>
          <w:rFonts w:ascii="Times New Roman" w:hAnsi="Times New Roman"/>
          <w:sz w:val="22"/>
        </w:rPr>
        <w:t>• Đúng: "King-White D." — giữ nguyên dấu nối + cả 2 phần</w:t>
      </w:r>
    </w:p>
    <w:p>
      <w:pPr>
        <w:spacing w:after="60"/>
        <w:ind w:left="425"/>
        <w:jc w:val="both"/>
      </w:pPr>
      <w:r>
        <w:rPr>
          <w:rFonts w:ascii="Times New Roman" w:hAnsi="Times New Roman"/>
          <w:sz w:val="22"/>
        </w:rPr>
        <w:t>• Sắp xếp trong danh mục Tài liệu Tham khảo: theo chữ "K" (King-White) — không phải chữ "W"</w:t>
      </w:r>
    </w:p>
    <w:p>
      <w:pPr>
        <w:spacing w:before="160" w:after="60"/>
      </w:pPr>
      <w:r>
        <w:rPr>
          <w:rFonts w:ascii="Times New Roman" w:hAnsi="Times New Roman"/>
          <w:b/>
          <w:color w:val="2E74B5"/>
          <w:sz w:val="24"/>
        </w:rPr>
        <w:t>Các trường hợp họ kép phổ biến khác</w:t>
      </w:r>
    </w:p>
    <w:p>
      <w:pPr>
        <w:spacing w:after="60"/>
        <w:ind w:left="425"/>
        <w:jc w:val="both"/>
      </w:pPr>
      <w:r>
        <w:rPr>
          <w:rFonts w:ascii="Times New Roman" w:hAnsi="Times New Roman"/>
          <w:sz w:val="22"/>
        </w:rPr>
        <w:t>• Smith-Jones → Smith-Jones</w:t>
      </w:r>
    </w:p>
    <w:p>
      <w:pPr>
        <w:spacing w:after="60"/>
        <w:ind w:left="425"/>
        <w:jc w:val="both"/>
      </w:pPr>
      <w:r>
        <w:rPr>
          <w:rFonts w:ascii="Times New Roman" w:hAnsi="Times New Roman"/>
          <w:sz w:val="22"/>
        </w:rPr>
        <w:t>• Hall-Williams → Hall-Williams</w:t>
      </w:r>
    </w:p>
    <w:p>
      <w:pPr>
        <w:spacing w:after="60"/>
        <w:ind w:left="425"/>
        <w:jc w:val="both"/>
      </w:pPr>
      <w:r>
        <w:rPr>
          <w:rFonts w:ascii="Times New Roman" w:hAnsi="Times New Roman"/>
          <w:sz w:val="22"/>
        </w:rPr>
        <w:t>• Pérez-García → Pérez-García</w:t>
      </w:r>
    </w:p>
    <w:p>
      <w:pPr>
        <w:spacing w:after="60"/>
        <w:ind w:left="425"/>
        <w:jc w:val="both"/>
      </w:pPr>
      <w:r>
        <w:rPr>
          <w:rFonts w:ascii="Times New Roman" w:hAnsi="Times New Roman"/>
          <w:sz w:val="22"/>
        </w:rPr>
        <w:t>• Đối với họ Tây Ban Nha kiểu "García López" (không có dấu nối) — có thể chỉ dùng họ đầu: "García J."; nhưng nhiều tác giả ngày nay yêu cầu giữ cả 2: "García López J."</w:t>
      </w:r>
    </w:p>
    <w:p>
      <w:pPr>
        <w:spacing w:before="280" w:after="120"/>
      </w:pPr>
      <w:r>
        <w:rPr>
          <w:rFonts w:ascii="Times New Roman" w:hAnsi="Times New Roman"/>
          <w:b/>
          <w:color w:val="C00000"/>
          <w:sz w:val="26"/>
        </w:rPr>
        <w:t>CÂU 4 — TÊN TẠP CHÍ BMC PSYCHIATRY KHI VIẾT BẰNG TIẾNG VIỆT</w:t>
      </w:r>
    </w:p>
    <w:p>
      <w:pPr>
        <w:spacing w:after="80"/>
        <w:ind w:left="283"/>
      </w:pPr>
      <w:r>
        <w:rPr>
          <w:rFonts w:ascii="Times New Roman" w:hAnsi="Times New Roman"/>
          <w:b/>
          <w:color w:val="C00000"/>
          <w:sz w:val="22"/>
        </w:rPr>
        <w:t xml:space="preserve">Câu hỏi thầy NMĐ: </w:t>
      </w:r>
      <w:r>
        <w:rPr>
          <w:rFonts w:ascii="Times New Roman" w:hAnsi="Times New Roman"/>
          <w:i/>
          <w:sz w:val="22"/>
        </w:rPr>
        <w:t>"Tạp chí BMC Psychiatry dịch ra tiếng Việt như thế nào, Em ơi?"</w:t>
      </w:r>
    </w:p>
    <w:p>
      <w:pPr>
        <w:spacing w:after="80"/>
        <w:ind w:firstLine="283"/>
        <w:jc w:val="both"/>
      </w:pPr>
      <w:r>
        <w:rPr>
          <w:rFonts w:ascii="Times New Roman" w:hAnsi="Times New Roman"/>
          <w:sz w:val="22"/>
        </w:rPr>
        <w:t>Em khuyến nghị KHÔNG dịch tên tạp chí — giữ nguyên "BMC Psychiatry". Lý do em trình bày dưới đây:</w:t>
      </w:r>
    </w:p>
    <w:p>
      <w:pPr>
        <w:spacing w:before="160" w:after="60"/>
      </w:pPr>
      <w:r>
        <w:rPr>
          <w:rFonts w:ascii="Times New Roman" w:hAnsi="Times New Roman"/>
          <w:b/>
          <w:color w:val="2E74B5"/>
          <w:sz w:val="24"/>
        </w:rPr>
        <w:t>3 phương án có thể cân nhắc</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color w:val="FFFFFF"/>
                <w:sz w:val="20"/>
              </w:rPr>
              <w:t>Phương án</w:t>
            </w:r>
          </w:p>
        </w:tc>
        <w:tc>
          <w:tcPr>
            <w:tcW w:type="dxa" w:w="3324"/>
          </w:tcPr>
          <w:p>
            <w:r/>
            <w:r>
              <w:rPr>
                <w:b/>
                <w:color w:val="FFFFFF"/>
                <w:sz w:val="20"/>
              </w:rPr>
              <w:t>Cách viết</w:t>
            </w:r>
          </w:p>
        </w:tc>
        <w:tc>
          <w:tcPr>
            <w:tcW w:type="dxa" w:w="3324"/>
          </w:tcPr>
          <w:p>
            <w:r/>
            <w:r>
              <w:rPr>
                <w:b/>
                <w:color w:val="FFFFFF"/>
                <w:sz w:val="20"/>
              </w:rPr>
              <w:t>Nhận xét</w:t>
            </w:r>
          </w:p>
        </w:tc>
      </w:tr>
      <w:tr>
        <w:tc>
          <w:tcPr>
            <w:tcW w:type="dxa" w:w="3324"/>
          </w:tcPr>
          <w:p>
            <w:r/>
            <w:r>
              <w:rPr>
                <w:b/>
                <w:sz w:val="20"/>
              </w:rPr>
              <w:t>A — Giữ nguyên (em khuyến nghị)</w:t>
            </w:r>
          </w:p>
        </w:tc>
        <w:tc>
          <w:tcPr>
            <w:tcW w:type="dxa" w:w="3324"/>
          </w:tcPr>
          <w:p>
            <w:r/>
            <w:r>
              <w:rPr>
                <w:sz w:val="20"/>
              </w:rPr>
              <w:t>BMC Psychiatry</w:t>
            </w:r>
          </w:p>
        </w:tc>
        <w:tc>
          <w:tcPr>
            <w:tcW w:type="dxa" w:w="3324"/>
          </w:tcPr>
          <w:p>
            <w:r/>
            <w:r>
              <w:rPr>
                <w:sz w:val="20"/>
              </w:rPr>
              <w:t>Tên thương hiệu nhà xuất bản — như tên riêng; phù hợp chuẩn Vancouver + APA; người đọc khoa học quốc tế quen thuộc</w:t>
            </w:r>
          </w:p>
        </w:tc>
      </w:tr>
      <w:tr>
        <w:tc>
          <w:tcPr>
            <w:tcW w:type="dxa" w:w="3324"/>
          </w:tcPr>
          <w:p>
            <w:r/>
            <w:r>
              <w:rPr>
                <w:b/>
                <w:sz w:val="20"/>
              </w:rPr>
              <w:t>B — Dịch hoàn toàn</w:t>
            </w:r>
          </w:p>
        </w:tc>
        <w:tc>
          <w:tcPr>
            <w:tcW w:type="dxa" w:w="3324"/>
          </w:tcPr>
          <w:p>
            <w:r/>
            <w:r>
              <w:rPr>
                <w:sz w:val="20"/>
              </w:rPr>
              <w:t>Tạp chí Tâm thần học BMC</w:t>
            </w:r>
          </w:p>
        </w:tc>
        <w:tc>
          <w:tcPr>
            <w:tcW w:type="dxa" w:w="3324"/>
          </w:tcPr>
          <w:p>
            <w:r/>
            <w:r>
              <w:rPr>
                <w:sz w:val="20"/>
              </w:rPr>
              <w:t>Có thể gây nhầm lẫn — "BMC" mất nghĩa gốc; KHÔNG khuyến nghị</w:t>
            </w:r>
          </w:p>
        </w:tc>
      </w:tr>
      <w:tr>
        <w:tc>
          <w:tcPr>
            <w:tcW w:type="dxa" w:w="3324"/>
          </w:tcPr>
          <w:p>
            <w:r/>
            <w:r>
              <w:rPr>
                <w:b/>
                <w:sz w:val="20"/>
              </w:rPr>
              <w:t>C — Kết hợp có chú thích</w:t>
            </w:r>
          </w:p>
        </w:tc>
        <w:tc>
          <w:tcPr>
            <w:tcW w:type="dxa" w:w="3324"/>
          </w:tcPr>
          <w:p>
            <w:r/>
            <w:r>
              <w:rPr>
                <w:sz w:val="20"/>
              </w:rPr>
              <w:t>Tạp chí BMC Psychiatry (tạm dịch: Tâm thần học BMC)</w:t>
            </w:r>
          </w:p>
        </w:tc>
        <w:tc>
          <w:tcPr>
            <w:tcW w:type="dxa" w:w="3324"/>
          </w:tcPr>
          <w:p>
            <w:r/>
            <w:r>
              <w:rPr>
                <w:sz w:val="20"/>
              </w:rPr>
              <w:t>Dùng khi cần giải thích cho người đọc không chuyên</w:t>
            </w:r>
          </w:p>
        </w:tc>
      </w:tr>
    </w:tbl>
    <w:p>
      <w:pPr>
        <w:spacing w:before="160"/>
      </w:pPr>
    </w:p>
    <w:p>
      <w:pPr>
        <w:spacing w:before="160" w:after="60"/>
      </w:pPr>
      <w:r>
        <w:rPr>
          <w:rFonts w:ascii="Times New Roman" w:hAnsi="Times New Roman"/>
          <w:b/>
          <w:color w:val="2E74B5"/>
          <w:sz w:val="24"/>
        </w:rPr>
        <w:t>Vì sao em đề xuất KHÔNG dịch?</w:t>
      </w:r>
    </w:p>
    <w:p>
      <w:pPr>
        <w:spacing w:after="60"/>
        <w:ind w:left="425"/>
        <w:jc w:val="both"/>
      </w:pPr>
      <w:r>
        <w:rPr>
          <w:rFonts w:ascii="Times New Roman" w:hAnsi="Times New Roman"/>
          <w:sz w:val="22"/>
        </w:rPr>
        <w:t>• "BMC" là viết tắt của BioMed Central — nhà xuất bản (publisher), không có nghĩa tiếng Việt</w:t>
      </w:r>
    </w:p>
    <w:p>
      <w:pPr>
        <w:spacing w:after="60"/>
        <w:ind w:left="425"/>
        <w:jc w:val="both"/>
      </w:pPr>
      <w:r>
        <w:rPr>
          <w:rFonts w:ascii="Times New Roman" w:hAnsi="Times New Roman"/>
          <w:sz w:val="22"/>
        </w:rPr>
        <w:t>• "Psychiatry" là chuyên ngành — về mặt kỹ thuật dịch được thành "Tâm thần học", nhưng dịch xong làm mất tên gốc thương hiệu</w:t>
      </w:r>
    </w:p>
    <w:p>
      <w:pPr>
        <w:spacing w:after="60"/>
        <w:ind w:left="425"/>
        <w:jc w:val="both"/>
      </w:pPr>
      <w:r>
        <w:rPr>
          <w:rFonts w:ascii="Times New Roman" w:hAnsi="Times New Roman"/>
          <w:sz w:val="22"/>
        </w:rPr>
        <w:t>• Quy ước trích dẫn quốc tế (Vancouver, APA, MLA) đều yêu cầu giữ nguyên tên tạp chí gốc — không dịch</w:t>
      </w:r>
    </w:p>
    <w:p>
      <w:pPr>
        <w:spacing w:after="60"/>
        <w:ind w:left="425"/>
        <w:jc w:val="both"/>
      </w:pPr>
      <w:r>
        <w:rPr>
          <w:rFonts w:ascii="Times New Roman" w:hAnsi="Times New Roman"/>
          <w:sz w:val="22"/>
        </w:rPr>
        <w:t>• Trong luận án + bài báo tiếng Việt của các nghiên cứu sinh Việt Nam đã công bố, đa số đều giữ nguyên "BMC Psychiatry", "BMC Public Health", "Frontiers in Psychiatry"… không dịch sang tiếng Việt</w:t>
      </w:r>
    </w:p>
    <w:p>
      <w:pPr>
        <w:spacing w:before="160" w:after="60"/>
      </w:pPr>
      <w:r>
        <w:rPr>
          <w:rFonts w:ascii="Times New Roman" w:hAnsi="Times New Roman"/>
          <w:b/>
          <w:color w:val="2E74B5"/>
          <w:sz w:val="24"/>
        </w:rPr>
        <w:t>Cách dùng cụ thể trong luận án + bản tiếng Việt của bài Q2/Q3/Q4</w:t>
      </w:r>
    </w:p>
    <w:p>
      <w:pPr>
        <w:spacing w:before="120" w:after="40"/>
      </w:pPr>
      <w:r>
        <w:rPr>
          <w:rFonts w:ascii="Times New Roman" w:hAnsi="Times New Roman"/>
          <w:b/>
          <w:color w:val="804000"/>
          <w:sz w:val="22"/>
        </w:rPr>
        <w:t>Trong câu văn</w:t>
      </w:r>
    </w:p>
    <w:p>
      <w:pPr>
        <w:spacing w:after="80"/>
        <w:ind w:firstLine="283"/>
        <w:jc w:val="both"/>
      </w:pPr>
      <w:r>
        <w:rPr>
          <w:rFonts w:ascii="Times New Roman" w:hAnsi="Times New Roman"/>
          <w:sz w:val="22"/>
        </w:rPr>
        <w:t>"…đã được công bố trên tạp chí BMC Psychiatry…"</w:t>
      </w:r>
    </w:p>
    <w:p>
      <w:pPr>
        <w:spacing w:after="80"/>
        <w:ind w:firstLine="283"/>
        <w:jc w:val="both"/>
      </w:pPr>
      <w:r>
        <w:rPr>
          <w:rFonts w:ascii="Times New Roman" w:hAnsi="Times New Roman"/>
          <w:sz w:val="22"/>
        </w:rPr>
        <w:t>hoặc: "…theo nghiên cứu công bố trên BMC Psychiatry (Pham và cs., 2024)…"</w:t>
      </w:r>
    </w:p>
    <w:p>
      <w:pPr>
        <w:spacing w:before="120" w:after="40"/>
      </w:pPr>
      <w:r>
        <w:rPr>
          <w:rFonts w:ascii="Times New Roman" w:hAnsi="Times New Roman"/>
          <w:b/>
          <w:color w:val="804000"/>
          <w:sz w:val="22"/>
        </w:rPr>
        <w:t>Trong danh mục Tài liệu Tham khảo (chuẩn Vancouver)</w:t>
      </w:r>
    </w:p>
    <w:p>
      <w:pPr>
        <w:spacing w:after="80"/>
        <w:ind w:firstLine="283"/>
        <w:jc w:val="both"/>
      </w:pPr>
      <w:r>
        <w:rPr>
          <w:rFonts w:ascii="Times New Roman" w:hAnsi="Times New Roman"/>
          <w:sz w:val="22"/>
        </w:rPr>
        <w:t>Pham TTH, Do TT, Nguyen TL, Ngo AV. Anxiety symptoms and coping strategies among high school students in Vietnam after COVID-19 pandemic: a mixed-method evaluation. **Front Public Health**. 2024;12:1232856. (Lưu ý: dùng tên VIẾT TẮT chính thức của tạp chí — với BMC Psychiatry thì viết tắt là "BMC Psychiatry" hoặc "BMC Psychiatry" — không rút gọn thêm)</w:t>
      </w:r>
    </w:p>
    <w:p>
      <w:pPr>
        <w:spacing w:before="120" w:after="40"/>
      </w:pPr>
      <w:r>
        <w:rPr>
          <w:rFonts w:ascii="Times New Roman" w:hAnsi="Times New Roman"/>
          <w:b/>
          <w:color w:val="804000"/>
          <w:sz w:val="22"/>
        </w:rPr>
        <w:t>Trong danh mục Tài liệu Tham khảo (chuẩn APA)</w:t>
      </w:r>
    </w:p>
    <w:p>
      <w:pPr>
        <w:spacing w:after="80"/>
        <w:ind w:firstLine="283"/>
        <w:jc w:val="both"/>
      </w:pPr>
      <w:r>
        <w:rPr>
          <w:rFonts w:ascii="Times New Roman" w:hAnsi="Times New Roman"/>
          <w:sz w:val="22"/>
        </w:rPr>
        <w:t>Pham, T. T. H., Do, T. T., Nguyen, T. L., &amp; Ngo, A. V. (2024). Anxiety symptoms and coping strategies among high school students in Vietnam after COVID-19 pandemic: A mixed-method evaluation. *Frontiers in Public Health*, *12*, 1232856.</w:t>
      </w:r>
    </w:p>
    <w:p>
      <w:pPr>
        <w:spacing w:before="280" w:after="120"/>
      </w:pPr>
      <w:r>
        <w:rPr>
          <w:rFonts w:ascii="Times New Roman" w:hAnsi="Times New Roman"/>
          <w:b/>
          <w:color w:val="C00000"/>
          <w:sz w:val="26"/>
        </w:rPr>
        <w:t>TÀI LIỆU THAM KHẢO</w:t>
      </w:r>
    </w:p>
    <w:p>
      <w:pPr>
        <w:spacing w:after="60"/>
        <w:ind w:left="425" w:hanging="425"/>
      </w:pPr>
      <w:r>
        <w:rPr>
          <w:rFonts w:ascii="Times New Roman" w:hAnsi="Times New Roman"/>
          <w:sz w:val="20"/>
        </w:rPr>
        <w:t>• Cohen J. (1988). Statistical Power Analysis for the Behavioral Sciences (2nd ed.). Lawrence Erlbaum Associates. (Quy ước cỡ hiệu ứng β: 0,10 = nhỏ; 0,30 = vừa; 0,50 = lớn)</w:t>
      </w:r>
    </w:p>
    <w:p>
      <w:pPr>
        <w:spacing w:after="60"/>
        <w:ind w:left="425" w:hanging="425"/>
      </w:pPr>
      <w:r>
        <w:rPr>
          <w:rFonts w:ascii="Times New Roman" w:hAnsi="Times New Roman"/>
          <w:sz w:val="20"/>
        </w:rPr>
        <w:t>• Kline RB. (2016). Principles and Practice of Structural Equation Modeling (4th ed.). The Guilford Press. (Sách giáo khoa chuẩn về diễn giải hệ số β trong SEM)</w:t>
      </w:r>
    </w:p>
    <w:p>
      <w:pPr>
        <w:spacing w:after="60"/>
        <w:ind w:left="425" w:hanging="425"/>
      </w:pPr>
      <w:r>
        <w:rPr>
          <w:rFonts w:ascii="Times New Roman" w:hAnsi="Times New Roman"/>
          <w:sz w:val="20"/>
        </w:rPr>
        <w:t>• International Committee of Medical Journal Editors (ICMJE). Recommendations on author names — bibliographic references. URL: https://www.icmje.org/recommendations/browse/manuscript-preparation/preparing-for-submission.html</w:t>
      </w:r>
    </w:p>
    <w:p>
      <w:pPr>
        <w:spacing w:after="60"/>
        <w:ind w:left="425" w:hanging="425"/>
      </w:pPr>
      <w:r>
        <w:rPr>
          <w:rFonts w:ascii="Times New Roman" w:hAnsi="Times New Roman"/>
          <w:sz w:val="20"/>
        </w:rPr>
        <w:t>• American Psychological Association (APA). Publication Manual (7th ed.). 2020. Chapter 9 — Reference Format. (Quy chuẩn tên tác giả và tên tạp chí)</w:t>
      </w:r>
    </w:p>
    <w:p>
      <w:pPr>
        <w:spacing w:after="60"/>
        <w:ind w:left="425" w:hanging="425"/>
      </w:pPr>
      <w:r>
        <w:rPr>
          <w:rFonts w:ascii="Times New Roman" w:hAnsi="Times New Roman"/>
          <w:sz w:val="20"/>
        </w:rPr>
        <w:t>• National Library of Medicine (NLM). Vancouver Citation Style Guide. URL: https://www.nlm.nih.gov/bsd/uniform_requirements.html (Quy chuẩn về tên tác giả viết tắt + tên tạp chí)</w:t>
      </w:r>
    </w:p>
    <w:p>
      <w:pPr>
        <w:spacing w:after="60"/>
        <w:ind w:left="425" w:hanging="425"/>
      </w:pPr>
      <w:r>
        <w:rPr>
          <w:rFonts w:ascii="Times New Roman" w:hAnsi="Times New Roman"/>
          <w:sz w:val="20"/>
        </w:rPr>
        <w:t>• Pham TTH, Do TT, Nguyen TL, Ngo AV. Anxiety symptoms and coping strategies among high school students in Vietnam after COVID-19 pandemic. Front Public Health. 2024;12:1232856. PMID: 38435293.</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