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Hang¹*, Dao Minh Duc¹, Nguyen Minh Duc²†</w:t>
      </w:r>
    </w:p>
    <w:p>
      <w:pPr>
        <w:jc w:val="center"/>
      </w:pPr>
      <w:r>
        <w:rPr>
          <w:rFonts w:ascii="Times New Roman" w:hAnsi="Times New Roman"/>
          <w:i/>
          <w:color w:val="808080"/>
          <w:sz w:val="20"/>
        </w:rPr>
        <w:t>¹ Faculty of Psychology and Education, Hanoi National University of Education, Hanoi, Vietnam | ² [Affiliation TBD — confirm with Nguyen Minh Duc] | * Correspondence: hangct@hnue.edu.vn | † Senior author</w:t>
      </w:r>
    </w:p>
    <w:p>
      <w:pPr>
        <w:jc w:val="center"/>
      </w:pPr>
      <w:r>
        <w:rPr>
          <w:rFonts w:ascii="Times New Roman" w:hAnsi="Times New Roman"/>
          <w:i/>
          <w:color w:val="808080"/>
          <w:sz w:val="20"/>
        </w:rPr>
        <w:t>Target journal: Frontiers in Psychiatry — Adolescent and Young Adult Psychiatry section</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lý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Lý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lý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lý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lý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