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4844"/>
          </w:tcPr>
          <w:p>
            <w:pPr>
              <w:spacing w:after="40"/>
              <w:jc w:val="center"/>
            </w:pPr>
            <w:r>
              <w:rPr>
                <w:rFonts w:ascii="Times New Roman" w:hAnsi="Times New Roman"/>
                <w:b/>
                <w:sz w:val="22"/>
              </w:rPr>
              <w:t>BỘ GIÁO DỤC VÀ ĐÀO TẠO</w:t>
            </w:r>
          </w:p>
          <w:p>
            <w:pPr>
              <w:spacing w:after="40"/>
              <w:jc w:val="center"/>
            </w:pPr>
            <w:r>
              <w:rPr>
                <w:rFonts w:ascii="Times New Roman" w:hAnsi="Times New Roman"/>
                <w:b/>
                <w:sz w:val="22"/>
              </w:rPr>
              <w:t>TRƯỜNG ĐẠI HỌC SƯ PHẠM HÀ NỘI</w:t>
            </w:r>
          </w:p>
          <w:p>
            <w:pPr>
              <w:jc w:val="center"/>
            </w:pPr>
            <w:r>
              <w:rPr>
                <w:sz w:val="22"/>
              </w:rPr>
              <w:t>—————</w:t>
            </w:r>
          </w:p>
          <w:p>
            <w:pPr>
              <w:spacing w:after="40"/>
              <w:jc w:val="center"/>
            </w:pPr>
            <w:r>
              <w:rPr>
                <w:rFonts w:ascii="Times New Roman" w:hAnsi="Times New Roman"/>
                <w:b/>
                <w:sz w:val="22"/>
              </w:rPr>
              <w:t>Hội đồng Đạo đức trong Nghiên cứu Khoa học</w:t>
            </w:r>
          </w:p>
          <w:p>
            <w:pPr>
              <w:jc w:val="center"/>
            </w:pPr>
            <w:r>
              <w:rPr>
                <w:b/>
                <w:sz w:val="22"/>
              </w:rPr>
              <w:t>Số: XXX/QĐ-ĐHSPHN</w:t>
            </w:r>
          </w:p>
        </w:tc>
        <w:tc>
          <w:tcPr>
            <w:tcW w:type="dxa" w:w="4844"/>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sz w:val="22"/>
              </w:rPr>
              <w:t>—————</w:t>
            </w:r>
          </w:p>
          <w:p>
            <w:pPr>
              <w:jc w:val="center"/>
            </w:pPr>
            <w:r>
              <w:rPr>
                <w:i/>
                <w:sz w:val="22"/>
              </w:rPr>
              <w:t>Hà Nội, ngày ___ tháng ___ năm 2025</w:t>
            </w:r>
          </w:p>
        </w:tc>
      </w:tr>
    </w:tbl>
    <w:p>
      <w:pPr>
        <w:spacing w:before="320" w:after="160"/>
        <w:jc w:val="center"/>
      </w:pPr>
      <w:r>
        <w:rPr>
          <w:b/>
          <w:sz w:val="30"/>
        </w:rPr>
        <w:t>QUYẾT ĐỊNH</w:t>
      </w:r>
    </w:p>
    <w:p>
      <w:pPr>
        <w:spacing w:after="160"/>
        <w:jc w:val="center"/>
      </w:pPr>
      <w:r>
        <w:rPr>
          <w:i/>
          <w:sz w:val="24"/>
        </w:rPr>
        <w:t>V/v: Phê duyệt về mặt khoa học và đạo đức đối với đề cương nghiên cứu</w:t>
      </w:r>
    </w:p>
    <w:p>
      <w:pPr>
        <w:spacing w:before="160" w:after="120"/>
        <w:jc w:val="center"/>
      </w:pPr>
      <w:r>
        <w:rPr>
          <w:b/>
          <w:sz w:val="26"/>
        </w:rPr>
        <w:t>CHỦ TỊCH HỘI ĐỒNG ĐẠO ĐỨC TRONG NGHIÊN CỨU KHOA HỌC</w:t>
      </w:r>
    </w:p>
    <w:p>
      <w:pPr>
        <w:spacing w:after="80"/>
        <w:ind w:firstLine="567"/>
        <w:jc w:val="both"/>
      </w:pPr>
      <w:r>
        <w:rPr>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i/>
          <w:sz w:val="24"/>
        </w:rPr>
        <w:t>Căn cứ Quyết định số XXX/QĐ-ĐHSPHN ngày ___ của Hiệu trưởng TRƯỜNG ĐẠI HỌC SƯ PHẠM HÀ NỘI về việc thành lập Hội đồng Đạo đức trong Nghiên cứu Khoa học;</w:t>
      </w:r>
    </w:p>
    <w:p>
      <w:pPr>
        <w:spacing w:after="80"/>
        <w:ind w:firstLine="567"/>
        <w:jc w:val="both"/>
      </w:pPr>
      <w:r>
        <w:rPr>
          <w:i/>
          <w:sz w:val="24"/>
        </w:rPr>
        <w:t>Căn cứ Hồ sơ xin phê duyệt đạo đức đề tài nghiên cứu của Công Thị Hằng đề ngày … tháng … năm …;</w:t>
      </w:r>
    </w:p>
    <w:p>
      <w:pPr>
        <w:spacing w:after="80"/>
        <w:ind w:firstLine="567"/>
        <w:jc w:val="both"/>
      </w:pPr>
      <w:r>
        <w:rPr>
          <w:i/>
          <w:sz w:val="24"/>
        </w:rPr>
        <w:t>Căn cứ kết luận của Hội đồng Đạo đức tại Phiên họp thẩm định ngày ___/___/2025;</w:t>
      </w:r>
    </w:p>
    <w:p>
      <w:pPr>
        <w:spacing w:after="80"/>
        <w:ind w:firstLine="567"/>
        <w:jc w:val="both"/>
      </w:pPr>
      <w:r>
        <w:rPr>
          <w:i/>
          <w:sz w:val="24"/>
        </w:rPr>
        <w:t>Theo đề nghị của Thư ký Hội đồng Đạo đức,</w:t>
      </w:r>
    </w:p>
    <w:p>
      <w:pPr>
        <w:spacing w:before="200" w:after="120"/>
        <w:jc w:val="center"/>
      </w:pPr>
      <w:r>
        <w:rPr>
          <w:b/>
          <w:sz w:val="28"/>
        </w:rPr>
        <w:t>QUYẾT ĐỊNH:</w:t>
      </w:r>
    </w:p>
    <w:p>
      <w:pPr>
        <w:spacing w:before="160" w:after="80"/>
        <w:ind w:firstLine="283"/>
        <w:jc w:val="both"/>
      </w:pPr>
      <w:r>
        <w:rPr>
          <w:b/>
          <w:sz w:val="24"/>
        </w:rPr>
        <w:t xml:space="preserve">Điều 1. </w:t>
      </w:r>
      <w:r>
        <w:rPr>
          <w:sz w:val="24"/>
        </w:rPr>
        <w:t>Phê duyệt đề cương nghiên cứu có tiêu đề "Các yếu tố nguy cơ và bảo vệ đối với các rối loạn lo âu ở học sinh trung học cơ sở Việt Nam" của nghiên cứu sinh Công Thị Hằng (Khoa Tâm lý Giáo dục, Trường Đại học Sư phạm Hà Nội), dưới sự hướng dẫn của [Học hàm/học vị] Nguyễn Minh Đức, về mặt khoa học và đạo đức trong nghiên cứu.</w:t>
      </w:r>
    </w:p>
    <w:p>
      <w:pPr>
        <w:spacing w:before="160" w:after="80"/>
        <w:ind w:firstLine="283"/>
        <w:jc w:val="both"/>
      </w:pPr>
      <w:r>
        <w:rPr>
          <w:b/>
          <w:sz w:val="24"/>
        </w:rPr>
        <w:t xml:space="preserve">Điều 2. </w:t>
      </w:r>
      <w:r>
        <w:rPr>
          <w:sz w:val="24"/>
        </w:rPr>
        <w:t>Phạm vi phê duyệt:</w:t>
      </w:r>
    </w:p>
    <w:p>
      <w:pPr>
        <w:spacing w:after="40"/>
        <w:ind w:left="567"/>
        <w:jc w:val="both"/>
      </w:pPr>
      <w:r>
        <w:rPr>
          <w:b/>
          <w:sz w:val="24"/>
        </w:rPr>
        <w:t xml:space="preserve">• Mục tiêu nghiên cứu: </w:t>
      </w:r>
      <w:r>
        <w:rPr>
          <w:sz w:val="24"/>
        </w:rPr>
        <w:t>Khảo sát mô hình tích hợp các yếu tố nguy cơ (bị bắt nạt, áp lực học tập, nghiện điện thoại) và các yếu tố bảo vệ (sự gắn bó với trường, sự hỗ trợ từ cha mẹ, sự hỗ trợ từ bạn bè, lòng tự trọng) đối với ba phân loại rối loạn lo âu (Lo âu Lan tỏa, Lo âu Xã hội, Lo âu Chia ly) theo DSM-5 ở học sinh trung học cơ sở Việt Nam</w:t>
      </w:r>
    </w:p>
    <w:p>
      <w:pPr>
        <w:spacing w:after="40"/>
        <w:ind w:left="567"/>
        <w:jc w:val="both"/>
      </w:pPr>
      <w:r>
        <w:rPr>
          <w:b/>
          <w:sz w:val="24"/>
        </w:rPr>
        <w:t xml:space="preserve">• Đối tượng tham gia: </w:t>
      </w:r>
      <w:r>
        <w:rPr>
          <w:sz w:val="24"/>
        </w:rPr>
        <w:t>Học sinh trung học cơ sở (tuổi 11-14, lớp 6 đến lớp 9)</w:t>
      </w:r>
    </w:p>
    <w:p>
      <w:pPr>
        <w:spacing w:after="40"/>
        <w:ind w:left="567"/>
        <w:jc w:val="both"/>
      </w:pPr>
      <w:r>
        <w:rPr>
          <w:b/>
          <w:sz w:val="24"/>
        </w:rPr>
        <w:t xml:space="preserve">• Cỡ mẫu: </w:t>
      </w:r>
      <w:r>
        <w:rPr>
          <w:sz w:val="24"/>
        </w:rPr>
        <w:t>1.352 học sinh</w:t>
      </w:r>
    </w:p>
    <w:p>
      <w:pPr>
        <w:spacing w:after="40"/>
        <w:ind w:left="567"/>
        <w:jc w:val="both"/>
      </w:pPr>
      <w:r>
        <w:rPr>
          <w:b/>
          <w:sz w:val="24"/>
        </w:rPr>
        <w:t xml:space="preserve">• Địa bàn nghiên cứu: </w:t>
      </w:r>
      <w:r>
        <w:rPr>
          <w:sz w:val="24"/>
        </w:rPr>
        <w:t>Trường Trung học cơ sở Nhật Tân và Trường Trung học cơ sở Tây Mỗ, Hà Nội</w:t>
      </w:r>
    </w:p>
    <w:p>
      <w:pPr>
        <w:spacing w:after="40"/>
        <w:ind w:left="567"/>
        <w:jc w:val="both"/>
      </w:pPr>
      <w:r>
        <w:rPr>
          <w:b/>
          <w:sz w:val="24"/>
        </w:rPr>
        <w:t xml:space="preserve">• Thời gian triển khai: </w:t>
      </w:r>
      <w:r>
        <w:rPr>
          <w:sz w:val="24"/>
        </w:rPr>
        <w:t>từ ___/2024 đến ___/2025</w:t>
      </w:r>
    </w:p>
    <w:p>
      <w:pPr>
        <w:spacing w:after="40"/>
        <w:ind w:left="567"/>
        <w:jc w:val="both"/>
      </w:pPr>
      <w:r>
        <w:rPr>
          <w:b/>
          <w:sz w:val="24"/>
        </w:rPr>
        <w:t xml:space="preserve">• Phạm vi công bố kết quả: </w:t>
      </w:r>
      <w:r>
        <w:rPr>
          <w:sz w:val="24"/>
        </w:rPr>
        <w:t>Luận án tiến sĩ của nghiên cứu sinh Công Thị Hằng và ba bài báo khoa học công bố trên tạp chí quốc tế thuộc danh mục Scopus/WoS, sử dụng cùng bộ dữ liệu thu thập theo đề cương đã được phê duyệt: (i) bài Q2 về mô hình phương trình cấu trúc tích hợp; (ii) bài Q3 về bất biến cấu trúc theo giới; (iii) bài Q4 về phân tích hồ sơ tiềm ẩn</w:t>
      </w:r>
    </w:p>
    <w:p>
      <w:pPr>
        <w:spacing w:before="160" w:after="80"/>
        <w:ind w:firstLine="283"/>
        <w:jc w:val="both"/>
      </w:pPr>
      <w:r>
        <w:rPr>
          <w:b/>
          <w:sz w:val="24"/>
        </w:rPr>
        <w:t xml:space="preserve">Điều 3. </w:t>
      </w:r>
      <w:r>
        <w:rPr>
          <w:sz w:val="24"/>
        </w:rPr>
        <w:t>Trách nhiệm của Chủ nhiệm đề tài/Nghiên cứu sinh:</w:t>
      </w:r>
    </w:p>
    <w:p>
      <w:pPr>
        <w:spacing w:after="40"/>
        <w:ind w:left="567"/>
        <w:jc w:val="both"/>
      </w:pPr>
      <w:r>
        <w:rPr>
          <w:b/>
          <w:sz w:val="24"/>
        </w:rPr>
        <w:t xml:space="preserve">• Thu thập sự đồng ý bằng văn bản (informed consent) của cha/mẹ/người giám hộ và sự đồng thuận bằng văn bản (assent) của học sinh trước khi tiến hành thu dữ liệu: </w:t>
      </w:r>
      <w:r>
        <w:rPr>
          <w:sz w:val="24"/>
        </w:rPr>
      </w:r>
    </w:p>
    <w:p>
      <w:pPr>
        <w:spacing w:after="40"/>
        <w:ind w:left="567"/>
        <w:jc w:val="both"/>
      </w:pPr>
      <w:r>
        <w:rPr>
          <w:b/>
          <w:sz w:val="24"/>
        </w:rPr>
        <w:t xml:space="preserve">• Bảo mật thông tin cá nhân của đối tượng nghiên cứu theo quy định: </w:t>
      </w:r>
      <w:r>
        <w:rPr>
          <w:sz w:val="24"/>
        </w:rPr>
      </w:r>
    </w:p>
    <w:p>
      <w:pPr>
        <w:spacing w:after="40"/>
        <w:ind w:left="567"/>
        <w:jc w:val="both"/>
      </w:pPr>
      <w:r>
        <w:rPr>
          <w:b/>
          <w:sz w:val="24"/>
        </w:rPr>
        <w:t xml:space="preserve">• Báo cáo tiến độ thực hiện đề tài hàng năm cho Hội đồng Đạo đức: </w:t>
      </w:r>
      <w:r>
        <w:rPr>
          <w:sz w:val="24"/>
        </w:rPr>
      </w:r>
    </w:p>
    <w:p>
      <w:pPr>
        <w:spacing w:after="40"/>
        <w:ind w:left="567"/>
        <w:jc w:val="both"/>
      </w:pPr>
      <w:r>
        <w:rPr>
          <w:b/>
          <w:sz w:val="24"/>
        </w:rPr>
        <w:t xml:space="preserve">• Thông báo kịp thời cho Hội đồng Đạo đức bất kỳ sự kiện bất lợi nào hoặc thay đổi đối với đề cương đã được phê duyệt: </w:t>
      </w:r>
      <w:r>
        <w:rPr>
          <w:sz w:val="24"/>
        </w:rPr>
      </w:r>
    </w:p>
    <w:p>
      <w:pPr>
        <w:spacing w:after="40"/>
        <w:ind w:left="567"/>
        <w:jc w:val="both"/>
      </w:pPr>
      <w:r>
        <w:rPr>
          <w:b/>
          <w:sz w:val="24"/>
        </w:rPr>
        <w:t xml:space="preserve">• Lưu trữ hồ sơ nghiên cứu trong thời hạn tối thiểu 05 năm kể từ ngày hoàn thành nghiên cứu: </w:t>
      </w:r>
      <w:r>
        <w:rPr>
          <w:sz w:val="24"/>
        </w:rPr>
      </w:r>
    </w:p>
    <w:p>
      <w:pPr>
        <w:spacing w:after="40"/>
        <w:ind w:left="567"/>
        <w:jc w:val="both"/>
      </w:pPr>
      <w:r>
        <w:rPr>
          <w:b/>
          <w:sz w:val="24"/>
        </w:rPr>
        <w:t xml:space="preserve">• Tuân thủ Tuyên bố Helsinki (1964 và các sửa đổi) và Quy chế thực hành lâm sàng tốt (GCP): </w:t>
      </w:r>
      <w:r>
        <w:rPr>
          <w:sz w:val="24"/>
        </w:rPr>
      </w:r>
    </w:p>
    <w:p>
      <w:pPr>
        <w:spacing w:before="160" w:after="80"/>
        <w:ind w:firstLine="283"/>
        <w:jc w:val="both"/>
      </w:pPr>
      <w:r>
        <w:rPr>
          <w:b/>
          <w:sz w:val="24"/>
        </w:rPr>
        <w:t xml:space="preserve">Điều 4. </w:t>
      </w:r>
      <w:r>
        <w:rPr>
          <w:sz w:val="24"/>
        </w:rPr>
        <w:t>Hiệu lực quyết định: Quyết định này có hiệu lực kể từ ngày ký. Phạm vi phê duyệt áp dụng cho toàn bộ thời gian triển khai nghiên cứu nêu tại Điều 2 và bao trùm tất cả các công bố khoa học phát sinh từ đề tài này.</w:t>
      </w:r>
    </w:p>
    <w:p>
      <w:pPr>
        <w:spacing w:before="160" w:after="80"/>
        <w:ind w:firstLine="283"/>
        <w:jc w:val="both"/>
      </w:pPr>
      <w:r>
        <w:rPr>
          <w:b/>
          <w:sz w:val="24"/>
        </w:rPr>
        <w:t xml:space="preserve">Điều 5. </w:t>
      </w:r>
      <w:r>
        <w:rPr>
          <w:sz w:val="24"/>
        </w:rPr>
        <w:t>Nơi nhận: NCS Công Thị Hằng; Người hướng dẫn; Khoa Tâm lý Giáo dục; Phòng Khoa học Công nghệ; Lưu Văn thư - HĐ Đạo đức.</w:t>
      </w:r>
    </w:p>
    <w:p>
      <w:pPr>
        <w:spacing w:before="360"/>
        <w:jc w:val="right"/>
      </w:pPr>
      <w:r>
        <w:rPr>
          <w:b/>
          <w:sz w:val="24"/>
        </w:rPr>
        <w:t>CHỦ TỊCH HỘI ĐỒNG ĐẠO ĐỨC</w:t>
      </w:r>
    </w:p>
    <w:p>
      <w:pPr>
        <w:jc w:val="right"/>
      </w:pPr>
      <w:r>
        <w:rPr>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b/>
          <w:sz w:val="24"/>
        </w:rPr>
        <w:t>[Học hàm/học vị + Họ tên] Chủ tịch HĐ Đạo đức</w:t>
      </w:r>
    </w:p>
    <w:p>
      <w:pPr>
        <w:spacing w:before="480"/>
      </w:pPr>
      <w:r>
        <w:rPr>
          <w:b/>
          <w:i/>
          <w:color w:val="808080"/>
          <w:sz w:val="20"/>
        </w:rPr>
        <w:t xml:space="preserve">Ghi chú: </w:t>
      </w:r>
      <w:r>
        <w:rPr>
          <w:i/>
          <w:color w:val="808080"/>
          <w:sz w:val="20"/>
        </w:rPr>
        <w:t>Đây là BẢN ĐIỀN SẴN ví dụ minh họa cho đề tài LA + 3 bài báo Q2/Q3/Q4 của NCS Công Thị Hằng. Các trường còn dấu [...] hoặc XXX vẫn cần được điền thông tin chính xác (số QĐ, ngày, tên đầy đủ + học hàm học vị Chủ tịch HĐ + Người hướng dẫn) sau khi nhận thư chính thức từ Phòng KHCN HNUE.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