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40"/>
        <w:jc w:val="center"/>
      </w:pPr>
      <w:r>
        <w:rPr>
          <w:rFonts w:ascii="Times New Roman" w:hAnsi="Times New Roman"/>
          <w:b/>
          <w:color w:val="1F4E79"/>
          <w:sz w:val="32"/>
        </w:rPr>
        <w:t>TRẢ LỜI THẦY NGUYỄN MINH ĐỨC</w:t>
      </w:r>
    </w:p>
    <w:p>
      <w:pPr>
        <w:spacing w:after="120"/>
        <w:jc w:val="both"/>
      </w:pPr>
      <w:r>
        <w:rPr>
          <w:rFonts w:ascii="Times New Roman" w:hAnsi="Times New Roman"/>
          <w:i/>
          <w:sz w:val="24"/>
        </w:rPr>
        <w:t>Phân tích gender difference SAD + Đề xuất tiêu đề Q3 và Q4</w:t>
      </w:r>
    </w:p>
    <w:p>
      <w:pPr>
        <w:spacing w:after="120"/>
        <w:jc w:val="both"/>
      </w:pPr>
      <w:r>
        <w:rPr>
          <w:rFonts w:ascii="Times New Roman" w:hAnsi="Times New Roman"/>
          <w:i/>
          <w:sz w:val="24"/>
        </w:rPr>
        <w:t>Soạn ngày 08/06/2026</w:t>
      </w:r>
    </w:p>
    <w:p>
      <w:pPr>
        <w:spacing w:before="320" w:after="120"/>
      </w:pPr>
      <w:r>
        <w:rPr>
          <w:rFonts w:ascii="Times New Roman" w:hAnsi="Times New Roman"/>
          <w:b/>
          <w:color w:val="C00000"/>
          <w:sz w:val="28"/>
        </w:rPr>
        <w:t>PHẦN A — XÁC NHẬN BA NỘI DUNG THẦY GIAO</w:t>
      </w:r>
    </w:p>
    <w:p>
      <w:pPr>
        <w:spacing w:after="120"/>
        <w:ind w:firstLine="425"/>
        <w:jc w:val="both"/>
      </w:pPr>
      <w:r>
        <w:rPr>
          <w:rFonts w:ascii="Times New Roman" w:hAnsi="Times New Roman"/>
          <w:i w:val="0"/>
          <w:sz w:val="24"/>
        </w:rPr>
        <w:t>Em xin cám ơn thầy Nguyễn Minh Đức đã đánh giá tích cực bản thảo Q2 và ghi nhận hàm lượng khoa học gắn với văn hóa Á Đông – Việt Nam của bài. Em xin xác nhận ba quyết định nhóm và ba việc cần làm thêm sau tin nhắn của thầy:</w:t>
      </w:r>
    </w:p>
    <w:p>
      <w:pPr>
        <w:spacing w:after="60"/>
        <w:ind w:left="283"/>
      </w:pPr>
      <w:r>
        <w:rPr>
          <w:rFonts w:ascii="Times New Roman" w:hAnsi="Times New Roman"/>
          <w:sz w:val="24"/>
        </w:rPr>
        <w:t>• Quyết định 1: Nhóm đồng ý chọn Frontiers in Psychiatry làm target Q2 chính (chấp nhận IF thấp hơn để đổi lấy thời gian peer-review nhanh + an toàn). Em xin lưu ý nhóm một cảnh báo về dòng tạp chí Frontiers em đã ghi rõ trong PhuongAnXuLy mục 2.3.</w:t>
      </w:r>
    </w:p>
    <w:p>
      <w:pPr>
        <w:spacing w:after="60"/>
        <w:ind w:left="283"/>
      </w:pPr>
      <w:r>
        <w:rPr>
          <w:rFonts w:ascii="Times New Roman" w:hAnsi="Times New Roman"/>
          <w:sz w:val="24"/>
        </w:rPr>
        <w:t>• Quyết định 2: NCS Công Thị Hằng sẽ làm việc với cơ sở đào tạo (HNUE) để giải quyết thủ tục chấp thuận của Hội đồng đạo đức — giải quyết Q3-6 BLOCKING.</w:t>
      </w:r>
    </w:p>
    <w:p>
      <w:pPr>
        <w:spacing w:after="60"/>
        <w:ind w:left="283"/>
      </w:pPr>
      <w:r>
        <w:rPr>
          <w:rFonts w:ascii="Times New Roman" w:hAnsi="Times New Roman"/>
          <w:sz w:val="24"/>
        </w:rPr>
        <w:t>• Việc bổ sung 1: Em sẽ bổ sung phần bình luận/luận chứng vào Q2 v1 để lý giải gender difference SAD ở HS THCS Việt Nam vs Jefferies &amp; Ungar 2020 — trình bày trong PHẦN B dưới đây.</w:t>
      </w:r>
    </w:p>
    <w:p>
      <w:pPr>
        <w:spacing w:after="60"/>
        <w:ind w:left="283"/>
      </w:pPr>
      <w:r>
        <w:rPr>
          <w:rFonts w:ascii="Times New Roman" w:hAnsi="Times New Roman"/>
          <w:sz w:val="24"/>
        </w:rPr>
        <w:t>• Việc bổ sung 2: Em đề xuất tiêu đề Q3 + Q4 tiềm năng — trình bày trong PHẦN C.</w:t>
      </w:r>
    </w:p>
    <w:p>
      <w:pPr>
        <w:spacing w:before="320" w:after="120"/>
      </w:pPr>
      <w:r>
        <w:rPr>
          <w:rFonts w:ascii="Times New Roman" w:hAnsi="Times New Roman"/>
          <w:b/>
          <w:color w:val="C00000"/>
          <w:sz w:val="28"/>
        </w:rPr>
        <w:t>PHẦN B — LUẬN CHỨNG VỀ GENDER DIFFERENCE SAD</w:t>
      </w:r>
    </w:p>
    <w:p>
      <w:pPr>
        <w:spacing w:before="200" w:after="80"/>
      </w:pPr>
      <w:r>
        <w:rPr>
          <w:rFonts w:ascii="Times New Roman" w:hAnsi="Times New Roman"/>
          <w:b/>
          <w:color w:val="2E74B5"/>
          <w:sz w:val="24"/>
        </w:rPr>
        <w:t>B1. So sánh hai nghiên cứu</w:t>
      </w:r>
    </w:p>
    <w:p>
      <w:pPr>
        <w:spacing w:after="120"/>
        <w:ind w:firstLine="425"/>
        <w:jc w:val="both"/>
      </w:pPr>
      <w:r>
        <w:rPr>
          <w:rFonts w:ascii="Times New Roman" w:hAnsi="Times New Roman"/>
          <w:i w:val="0"/>
          <w:sz w:val="24"/>
        </w:rPr>
        <w:t>Em đã đọc lại Jefferies &amp; Ungar (2020) đầy đủ. So sánh hai nghiên cứu như sau:</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1984"/>
          </w:tcPr>
          <w:p>
            <w:r>
              <w:rPr>
                <w:b/>
                <w:sz w:val="20"/>
              </w:rPr>
              <w:t>Tiêu chí</w:t>
            </w:r>
          </w:p>
        </w:tc>
        <w:tc>
          <w:tcPr>
            <w:tcW w:type="dxa" w:w="3969"/>
          </w:tcPr>
          <w:p>
            <w:r>
              <w:rPr>
                <w:b/>
                <w:sz w:val="20"/>
              </w:rPr>
              <w:t>Jefferies &amp; Ungar 2020 [1]</w:t>
            </w:r>
          </w:p>
        </w:tc>
        <w:tc>
          <w:tcPr>
            <w:tcW w:type="dxa" w:w="3402"/>
          </w:tcPr>
          <w:p>
            <w:r>
              <w:rPr>
                <w:b/>
                <w:sz w:val="20"/>
              </w:rPr>
              <w:t>Q2 v1 của NCS</w:t>
            </w:r>
          </w:p>
        </w:tc>
      </w:tr>
      <w:tr>
        <w:tc>
          <w:tcPr>
            <w:tcW w:type="dxa" w:w="1984"/>
          </w:tcPr>
          <w:p>
            <w:r>
              <w:rPr>
                <w:sz w:val="20"/>
              </w:rPr>
              <w:t>Cỡ mẫu</w:t>
            </w:r>
          </w:p>
        </w:tc>
        <w:tc>
          <w:tcPr>
            <w:tcW w:type="dxa" w:w="3969"/>
          </w:tcPr>
          <w:p>
            <w:r>
              <w:rPr>
                <w:sz w:val="20"/>
              </w:rPr>
              <w:t>N = 6.825</w:t>
            </w:r>
          </w:p>
        </w:tc>
        <w:tc>
          <w:tcPr>
            <w:tcW w:type="dxa" w:w="3402"/>
          </w:tcPr>
          <w:p>
            <w:r>
              <w:rPr>
                <w:sz w:val="20"/>
              </w:rPr>
              <w:t>N = 1.352</w:t>
            </w:r>
          </w:p>
        </w:tc>
      </w:tr>
      <w:tr>
        <w:tc>
          <w:tcPr>
            <w:tcW w:type="dxa" w:w="1984"/>
          </w:tcPr>
          <w:p>
            <w:r>
              <w:rPr>
                <w:sz w:val="20"/>
              </w:rPr>
              <w:t>Độ tuổi</w:t>
            </w:r>
          </w:p>
        </w:tc>
        <w:tc>
          <w:tcPr>
            <w:tcW w:type="dxa" w:w="3969"/>
          </w:tcPr>
          <w:p>
            <w:r>
              <w:rPr>
                <w:sz w:val="20"/>
              </w:rPr>
              <w:t>16–29 (M = 22,84; SD = 3,97)</w:t>
            </w:r>
          </w:p>
        </w:tc>
        <w:tc>
          <w:tcPr>
            <w:tcW w:type="dxa" w:w="3402"/>
          </w:tcPr>
          <w:p>
            <w:r>
              <w:rPr>
                <w:sz w:val="20"/>
              </w:rPr>
              <w:t>11–14 (HS THCS)</w:t>
            </w:r>
          </w:p>
        </w:tc>
      </w:tr>
      <w:tr>
        <w:tc>
          <w:tcPr>
            <w:tcW w:type="dxa" w:w="1984"/>
          </w:tcPr>
          <w:p>
            <w:r>
              <w:rPr>
                <w:sz w:val="20"/>
              </w:rPr>
              <w:t>Giới</w:t>
            </w:r>
          </w:p>
        </w:tc>
        <w:tc>
          <w:tcPr>
            <w:tcW w:type="dxa" w:w="3969"/>
          </w:tcPr>
          <w:p>
            <w:r>
              <w:rPr>
                <w:sz w:val="20"/>
              </w:rPr>
              <w:t>3.342 nam / 3.428 nữ</w:t>
            </w:r>
          </w:p>
        </w:tc>
        <w:tc>
          <w:tcPr>
            <w:tcW w:type="dxa" w:w="3402"/>
          </w:tcPr>
          <w:p>
            <w:r>
              <w:rPr>
                <w:sz w:val="20"/>
              </w:rPr>
              <w:t>614 nam / 738 nữ</w:t>
            </w:r>
          </w:p>
        </w:tc>
      </w:tr>
      <w:tr>
        <w:tc>
          <w:tcPr>
            <w:tcW w:type="dxa" w:w="1984"/>
          </w:tcPr>
          <w:p>
            <w:r>
              <w:rPr>
                <w:sz w:val="20"/>
              </w:rPr>
              <w:t>Phạm vi</w:t>
            </w:r>
          </w:p>
        </w:tc>
        <w:tc>
          <w:tcPr>
            <w:tcW w:type="dxa" w:w="3969"/>
          </w:tcPr>
          <w:p>
            <w:r>
              <w:rPr>
                <w:sz w:val="20"/>
              </w:rPr>
              <w:t>7 quốc gia (Brazil, China, Indonesia, Russia, Thailand, US, Vietnam)</w:t>
            </w:r>
          </w:p>
        </w:tc>
        <w:tc>
          <w:tcPr>
            <w:tcW w:type="dxa" w:w="3402"/>
          </w:tcPr>
          <w:p>
            <w:r>
              <w:rPr>
                <w:sz w:val="20"/>
              </w:rPr>
              <w:t>Việt Nam (Hà Nội)</w:t>
            </w:r>
          </w:p>
        </w:tc>
      </w:tr>
      <w:tr>
        <w:tc>
          <w:tcPr>
            <w:tcW w:type="dxa" w:w="1984"/>
          </w:tcPr>
          <w:p>
            <w:r>
              <w:rPr>
                <w:sz w:val="20"/>
              </w:rPr>
              <w:t>Nguồn mẫu</w:t>
            </w:r>
          </w:p>
        </w:tc>
        <w:tc>
          <w:tcPr>
            <w:tcW w:type="dxa" w:w="3969"/>
          </w:tcPr>
          <w:p>
            <w:r>
              <w:rPr>
                <w:sz w:val="20"/>
              </w:rPr>
              <w:t>Online market research panel (Edelman/Unilever); 23.346 invited → 6.825 final</w:t>
            </w:r>
          </w:p>
        </w:tc>
        <w:tc>
          <w:tcPr>
            <w:tcW w:type="dxa" w:w="3402"/>
          </w:tcPr>
          <w:p>
            <w:r>
              <w:rPr>
                <w:sz w:val="20"/>
              </w:rPr>
              <w:t>Khảo sát trường học (Nhật Tân + Tây Mỗ)</w:t>
            </w:r>
          </w:p>
        </w:tc>
      </w:tr>
      <w:tr>
        <w:tc>
          <w:tcPr>
            <w:tcW w:type="dxa" w:w="1984"/>
          </w:tcPr>
          <w:p>
            <w:r>
              <w:rPr>
                <w:sz w:val="20"/>
              </w:rPr>
              <w:t>Công cụ đo</w:t>
            </w:r>
          </w:p>
        </w:tc>
        <w:tc>
          <w:tcPr>
            <w:tcW w:type="dxa" w:w="3969"/>
          </w:tcPr>
          <w:p>
            <w:r>
              <w:rPr>
                <w:sz w:val="20"/>
              </w:rPr>
              <w:t>SIAS (Social Interaction Anxiety Scale, 20 item; em đã verify trong PDF)</w:t>
            </w:r>
          </w:p>
        </w:tc>
        <w:tc>
          <w:tcPr>
            <w:tcW w:type="dxa" w:w="3402"/>
          </w:tcPr>
          <w:p>
            <w:r>
              <w:rPr>
                <w:sz w:val="20"/>
              </w:rPr>
              <w:t>RCADS-SocAD (4 item, DSM-5 aligned)</w:t>
            </w:r>
          </w:p>
        </w:tc>
      </w:tr>
      <w:tr>
        <w:tc>
          <w:tcPr>
            <w:tcW w:type="dxa" w:w="1984"/>
          </w:tcPr>
          <w:p>
            <w:r>
              <w:rPr>
                <w:sz w:val="20"/>
              </w:rPr>
              <w:t>Phát hiện gender chính</w:t>
            </w:r>
          </w:p>
        </w:tc>
        <w:tc>
          <w:tcPr>
            <w:tcW w:type="dxa" w:w="3969"/>
          </w:tcPr>
          <w:p>
            <w:r>
              <w:rPr>
                <w:sz w:val="20"/>
              </w:rPr>
              <w:t>t(6768) = −1,37; n.s. — KHÔNG có khác biệt giới</w:t>
            </w:r>
          </w:p>
        </w:tc>
        <w:tc>
          <w:tcPr>
            <w:tcW w:type="dxa" w:w="3402"/>
          </w:tcPr>
          <w:p>
            <w:r>
              <w:rPr>
                <w:sz w:val="20"/>
              </w:rPr>
              <w:t>Nữ &gt; nam có ý nghĩa thống kê</w:t>
            </w:r>
          </w:p>
        </w:tc>
      </w:tr>
      <w:tr>
        <w:tc>
          <w:tcPr>
            <w:tcW w:type="dxa" w:w="1984"/>
          </w:tcPr>
          <w:p>
            <w:r>
              <w:rPr>
                <w:sz w:val="20"/>
              </w:rPr>
              <w:t>Phát hiện country × sex</w:t>
            </w:r>
          </w:p>
        </w:tc>
        <w:tc>
          <w:tcPr>
            <w:tcW w:type="dxa" w:w="3969"/>
          </w:tcPr>
          <w:p>
            <w:r>
              <w:rPr>
                <w:sz w:val="20"/>
              </w:rPr>
              <w:t>F(6,6728) = 2,25; p = 0,036; η² = 0,002 (có ý nghĩa, effect size rất nhỏ)</w:t>
            </w:r>
          </w:p>
        </w:tc>
        <w:tc>
          <w:tcPr>
            <w:tcW w:type="dxa" w:w="3402"/>
          </w:tcPr>
          <w:p>
            <w:r>
              <w:rPr>
                <w:sz w:val="20"/>
              </w:rPr>
              <w:t>Không tham chiếu — single country</w:t>
            </w:r>
          </w:p>
        </w:tc>
      </w:tr>
      <w:tr>
        <w:tc>
          <w:tcPr>
            <w:tcW w:type="dxa" w:w="1984"/>
          </w:tcPr>
          <w:p>
            <w:r>
              <w:rPr>
                <w:sz w:val="20"/>
              </w:rPr>
              <w:t>Phát hiện age main effect</w:t>
            </w:r>
          </w:p>
        </w:tc>
        <w:tc>
          <w:tcPr>
            <w:tcW w:type="dxa" w:w="3969"/>
          </w:tcPr>
          <w:p>
            <w:r>
              <w:rPr>
                <w:sz w:val="20"/>
              </w:rPr>
              <w:t>F(2,6822) = 39,74; p &lt; 0,001; 18–24 cao nhất (M = 25,33), 16–17 thấp nhất (M = 21,92), 25–29 ở giữa (M = 22,44)</w:t>
            </w:r>
          </w:p>
        </w:tc>
        <w:tc>
          <w:tcPr>
            <w:tcW w:type="dxa" w:w="3402"/>
          </w:tcPr>
          <w:p>
            <w:r>
              <w:rPr>
                <w:sz w:val="20"/>
              </w:rPr>
              <w:t>Không kiểm — sample 11–14 đồng nhất</w:t>
            </w:r>
          </w:p>
        </w:tc>
      </w:tr>
      <w:tr>
        <w:tc>
          <w:tcPr>
            <w:tcW w:type="dxa" w:w="1984"/>
          </w:tcPr>
          <w:p>
            <w:r>
              <w:rPr>
                <w:sz w:val="20"/>
              </w:rPr>
              <w:t>Mẫu Việt Nam sub-sample</w:t>
            </w:r>
          </w:p>
        </w:tc>
        <w:tc>
          <w:tcPr>
            <w:tcW w:type="dxa" w:w="3969"/>
          </w:tcPr>
          <w:p>
            <w:r>
              <w:rPr>
                <w:sz w:val="20"/>
              </w:rPr>
              <w:t>N = 984 (487 nam / 493 nữ); M = 22,68; SD = 11,77 (thấp thứ 2 sau Indonesia)</w:t>
            </w:r>
          </w:p>
        </w:tc>
        <w:tc>
          <w:tcPr>
            <w:tcW w:type="dxa" w:w="3402"/>
          </w:tcPr>
          <w:p>
            <w:r>
              <w:rPr>
                <w:sz w:val="20"/>
              </w:rPr>
              <w:t>— (đã là toàn bộ mẫu)</w:t>
            </w:r>
          </w:p>
        </w:tc>
      </w:tr>
    </w:tbl>
    <w:p>
      <w:pPr>
        <w:spacing w:after="120"/>
        <w:ind w:firstLine="425"/>
        <w:jc w:val="both"/>
      </w:pPr>
      <w:r>
        <w:rPr>
          <w:rFonts w:ascii="Times New Roman" w:hAnsi="Times New Roman"/>
          <w:i w:val="0"/>
          <w:sz w:val="24"/>
        </w:rPr>
        <w:t>Câu hỏi của thầy thực sự rất sắc bén. Em đề xuất 6 luận chứng — bốn luận chứng về cơ chế phát triển + văn hóa, hai luận chứng về phương pháp luận — để giải thích sự không nhất quán này.</w:t>
      </w:r>
    </w:p>
    <w:p>
      <w:pPr>
        <w:spacing w:before="200" w:after="80"/>
      </w:pPr>
      <w:r>
        <w:rPr>
          <w:rFonts w:ascii="Times New Roman" w:hAnsi="Times New Roman"/>
          <w:b/>
          <w:color w:val="2E74B5"/>
          <w:sz w:val="24"/>
        </w:rPr>
        <w:t>B2. Sáu luận chứng đề xuất</w:t>
      </w:r>
    </w:p>
    <w:p>
      <w:pPr>
        <w:spacing w:before="200" w:after="80"/>
      </w:pPr>
      <w:r>
        <w:rPr>
          <w:rFonts w:ascii="Times New Roman" w:hAnsi="Times New Roman"/>
          <w:b/>
          <w:color w:val="2E74B5"/>
          <w:sz w:val="24"/>
        </w:rPr>
        <w:t>Luận chứng 1 — Cửa sổ phát triển 11–14 tuổi là đỉnh điểm nguy cơ SAD ở nữ</w:t>
      </w:r>
    </w:p>
    <w:p>
      <w:pPr>
        <w:spacing w:after="120"/>
        <w:ind w:firstLine="425"/>
        <w:jc w:val="both"/>
      </w:pPr>
      <w:r>
        <w:rPr>
          <w:rFonts w:ascii="Times New Roman" w:hAnsi="Times New Roman"/>
          <w:i w:val="0"/>
          <w:sz w:val="24"/>
        </w:rPr>
        <w:t>Tổng quan Hankin và cộng sự (2007) [2] trên cohort thanh thiếu niên Mỹ cho thấy khác biệt giới về triệu chứng nội hóa (depression, anxiety) bắt đầu xuất hiện rõ rệt vào khoảng 13 tuổi và đạt đỉnh ở 15–17 tuổi. McLean và Anderson (2009) [3] trong tổng quan về khác biệt giới trong fear và anxiety chỉ ra rằng SAD cụ thể có xu hướng thể hiện sớm hơn ở nữ do trải nghiệm hội tụ ba yếu tố vào đầu vị thành niên: (a) thay đổi nội tiết do dậy thì (nữ bước vào dậy thì sớm hơn nam khoảng 2 năm), (b) tăng nhạy cảm với đánh giá của bạn bè đồng trang lứa do trưởng thành thần kinh vỏ não trán-rìa, (c) nội hóa vai trò giới về ngoại hình + đánh giá xã hội theo lý thuyết gender intensification (Hill &amp; Lynch 1983) [4]. Theo Kessler và cộng sự (2005) [5] từ National Comorbidity Survey Replication, một nửa số ca rối loạn lo âu khởi phát trước 14 tuổi — gợi ý rằng cửa sổ 11–14 chính là giai đoạn dễ tổn thương nhất. Đến 16–29 tuổi trong mẫu Jefferies, nam đã trải qua cùng tiến trình dậy thì (chậm hơn 2 năm) và đã đạt mức tổn thương tương đương, làm thu hẹp khoảng cách giới đo lường được.</w:t>
      </w:r>
    </w:p>
    <w:p>
      <w:pPr>
        <w:spacing w:before="200" w:after="80"/>
      </w:pPr>
      <w:r>
        <w:rPr>
          <w:rFonts w:ascii="Times New Roman" w:hAnsi="Times New Roman"/>
          <w:b/>
          <w:color w:val="2E74B5"/>
          <w:sz w:val="24"/>
        </w:rPr>
        <w:t>Luận chứng 2 — Co-rumination peak ở giữa vị thành niên (Rose 2002)</w:t>
      </w:r>
    </w:p>
    <w:p>
      <w:pPr>
        <w:spacing w:after="120"/>
        <w:ind w:firstLine="425"/>
        <w:jc w:val="both"/>
      </w:pPr>
      <w:r>
        <w:rPr>
          <w:rFonts w:ascii="Times New Roman" w:hAnsi="Times New Roman"/>
          <w:i w:val="0"/>
          <w:sz w:val="24"/>
        </w:rPr>
        <w:t>Em đã sử dụng co-rumination hypothesis của Rose (2002) [6] trong Discussion Q2 v1 để giải thích kết quả null của peer support. Khái niệm này cũng giải thích trực tiếp gender difference SAD: trong mẫu lớp 3, 5, 7, 9 (Rose 2002, N = 608), nữ sinh trung học cơ sở có tần suất co-rumination cao nhất so với cả nam cùng tuổi và nữ ở cấp cao hơn. Tăng co-rumination → khuếch đại lo lắng → tăng triệu chứng SAD. Đến tuổi trưởng thành, mẫu hình co-rumination ổn định lại và khoảng cách giới hẹp dần.</w:t>
      </w:r>
    </w:p>
    <w:p>
      <w:pPr>
        <w:spacing w:before="200" w:after="80"/>
      </w:pPr>
      <w:r>
        <w:rPr>
          <w:rFonts w:ascii="Times New Roman" w:hAnsi="Times New Roman"/>
          <w:b/>
          <w:color w:val="2E74B5"/>
          <w:sz w:val="24"/>
        </w:rPr>
        <w:t>Luận chứng 3 — Kịch bản giới văn hóa Nho giáo Việt Nam ở tuổi học sinh THCS</w:t>
      </w:r>
    </w:p>
    <w:p>
      <w:pPr>
        <w:spacing w:after="120"/>
        <w:ind w:firstLine="425"/>
        <w:jc w:val="both"/>
      </w:pPr>
      <w:r>
        <w:rPr>
          <w:rFonts w:ascii="Times New Roman" w:hAnsi="Times New Roman"/>
          <w:i w:val="0"/>
          <w:sz w:val="24"/>
        </w:rPr>
        <w:t>Stankov (2010) [7] đã chỉ ra rằng văn hóa học thuật Nho giáo nuôi dưỡng test anxiety + self-doubt ở học sinh Đông Á. Trong bối cảnh Việt Nam cụ thể, nữ sinh THCS chịu kép áp lực: vừa phải đạt thành tích học tập cao (theo Confucian achievement script), vừa phải đáp ứng kỳ vọng giới về tế nhị, kín đáo, thu mình trong giao tiếp xã hội (theo Confucian feminine script). Nam sinh cùng tuổi chịu áp lực thành tích nhưng được phép biểu hiện chủ động xã hội. Small &amp; Blanc (2021) [8] mô tả tam giáo Nho-Phật-Đạo định hình các chuẩn mực ứng xử kéo dài qua nhiều thế hệ; những kỳ vọng giới này đặc biệt nghiêm ngặt trong môi trường học đường dưới sự giám sát của giáo viên + gia đình. Đến 16–29 tuổi (mẫu Jefferies), một bộ phận nữ thanh niên đã rời ghế nhà trường, vào môi trường lao động độc lập hơn — áp lực giới giảm xuống.</w:t>
      </w:r>
    </w:p>
    <w:p>
      <w:pPr>
        <w:spacing w:before="200" w:after="80"/>
      </w:pPr>
      <w:r>
        <w:rPr>
          <w:rFonts w:ascii="Times New Roman" w:hAnsi="Times New Roman"/>
          <w:b/>
          <w:color w:val="2E74B5"/>
          <w:sz w:val="24"/>
        </w:rPr>
        <w:t>Luận chứng 4 — Bối cảnh học đường vs population-based panel</w:t>
      </w:r>
    </w:p>
    <w:p>
      <w:pPr>
        <w:spacing w:after="120"/>
        <w:ind w:firstLine="425"/>
        <w:jc w:val="both"/>
      </w:pPr>
      <w:r>
        <w:rPr>
          <w:rFonts w:ascii="Times New Roman" w:hAnsi="Times New Roman"/>
          <w:i w:val="0"/>
          <w:sz w:val="24"/>
        </w:rPr>
        <w:t>Q2 v1 đo lo âu xã hội trong môi trường mà các tình huống đánh giá xã hội xảy ra hàng ngày: phát biểu trước lớp, kiểm tra miệng, tương tác giáo viên, xếp hạng học lực công khai. Đây là môi trường "nuôi dưỡng" SAD đặc biệt cho nữ sinh có xu hướng nội hóa đánh giá tiêu cực. Trong khi đó, Jefferies sử dụng online market research panel không gắn với bối cảnh xã hội cụ thể nào — đo lường mức lo âu tổng quát trong cuộc sống hàng ngày. Hai bối cảnh đo lường khác nhau có thể cho kết quả khác nhau ngay cả khi đo cùng một construct.</w:t>
      </w:r>
    </w:p>
    <w:p>
      <w:pPr>
        <w:spacing w:before="200" w:after="80"/>
      </w:pPr>
      <w:r>
        <w:rPr>
          <w:rFonts w:ascii="Times New Roman" w:hAnsi="Times New Roman"/>
          <w:b/>
          <w:color w:val="2E74B5"/>
          <w:sz w:val="24"/>
        </w:rPr>
        <w:t>Luận chứng 5 — Khác biệt phương pháp luận: cỡ mẫu + công cụ + sai lệch mẫu</w:t>
      </w:r>
    </w:p>
    <w:p>
      <w:pPr>
        <w:spacing w:after="120"/>
        <w:ind w:firstLine="425"/>
        <w:jc w:val="both"/>
      </w:pPr>
      <w:r>
        <w:rPr>
          <w:rFonts w:ascii="Times New Roman" w:hAnsi="Times New Roman"/>
          <w:i w:val="0"/>
          <w:sz w:val="24"/>
        </w:rPr>
        <w:t>Năm khía cạnh phương pháp luận góp phần giải thích:</w:t>
      </w:r>
    </w:p>
    <w:p>
      <w:pPr>
        <w:spacing w:after="60"/>
        <w:ind w:left="567"/>
      </w:pPr>
      <w:r>
        <w:rPr>
          <w:rFonts w:ascii="Times New Roman" w:hAnsi="Times New Roman"/>
          <w:sz w:val="24"/>
        </w:rPr>
        <w:t>• Công cụ khác nhau: Jefferies dùng SIAS 17–20 item đo Social INTERACTION Anxiety (tương tác xã hội tổng quát); Q2 v1 dùng RCADS-SocAD 4 item đo Social Anxiety DISORDER theo tiêu chí DSM-5. Hai công cụ đo cấu trúc khác nhau và có thể nhạy cảm với gender difference khác nhau.</w:t>
      </w:r>
    </w:p>
    <w:p>
      <w:pPr>
        <w:spacing w:after="60"/>
        <w:ind w:left="567"/>
      </w:pPr>
      <w:r>
        <w:rPr>
          <w:rFonts w:ascii="Times New Roman" w:hAnsi="Times New Roman"/>
          <w:sz w:val="24"/>
        </w:rPr>
        <w:t>• Sai lệch lựa chọn của Jefferies: 23.346 invited → 6.825 final (76% panel members consented; 65% rejected for eligibility hoặc occupation; 176 loại bỏ vì straight-lining). Người có SAD nặng thường tránh khảo sát online interactive → underrepresented trong mẫu. Đặc biệt nữ SAD nặng có thể bị mất hơn nam → che giấu sự khác biệt giới thực sự. Jefferies thừa nhận hạn chế này.</w:t>
      </w:r>
    </w:p>
    <w:p>
      <w:pPr>
        <w:spacing w:after="60"/>
        <w:ind w:left="567"/>
      </w:pPr>
      <w:r>
        <w:rPr>
          <w:rFonts w:ascii="Times New Roman" w:hAnsi="Times New Roman"/>
          <w:sz w:val="24"/>
        </w:rPr>
        <w:t>• Cỡ mẫu thực tế cho phân tích Việt Nam: Jefferies có N = 984 cho Việt Nam (487 nam / 493 nữ) — đây là cỡ mẫu khá nhỏ khi xét phân tích con cho từng quốc gia. Khả năng phát hiện gender difference cấp quốc gia thấp hơn so với Q2 v1 (N = 1.352 trong cùng quốc gia).</w:t>
      </w:r>
    </w:p>
    <w:p>
      <w:pPr>
        <w:spacing w:after="60"/>
        <w:ind w:left="567"/>
      </w:pPr>
      <w:r>
        <w:rPr>
          <w:rFonts w:ascii="Times New Roman" w:hAnsi="Times New Roman"/>
          <w:sz w:val="24"/>
        </w:rPr>
        <w:t>• Country × sex interaction CÓ ý nghĩa thống kê trong Jefferies (F = 2,25; p = 0,036) — nghĩa là gender effect KHÁC NHAU theo quốc gia. Đây là bằng chứng quan trọng: Jefferies KHÔNG bác bỏ gender difference theo quốc gia; chỉ kết luận rằng main effect pooled qua 7 quốc gia là n.s.</w:t>
      </w:r>
    </w:p>
    <w:p>
      <w:pPr>
        <w:spacing w:after="60"/>
        <w:ind w:left="567"/>
      </w:pPr>
      <w:r>
        <w:rPr>
          <w:rFonts w:ascii="Times New Roman" w:hAnsi="Times New Roman"/>
          <w:sz w:val="24"/>
        </w:rPr>
        <w:t>• Mẫu Jefferies cho Việt Nam có M = 22,68 — thấp thứ 2 trong 7 quốc gia (sau Indonesia M = 18,94). Mẫu Việt Nam của Jefferies có thể đặc thù low-anxiety subgroup do tự chọn lọc participants, làm mất khả năng phát hiện gender difference.</w:t>
      </w:r>
    </w:p>
    <w:p>
      <w:pPr>
        <w:spacing w:before="200" w:after="80"/>
      </w:pPr>
      <w:r>
        <w:rPr>
          <w:rFonts w:ascii="Times New Roman" w:hAnsi="Times New Roman"/>
          <w:b/>
          <w:color w:val="2E74B5"/>
          <w:sz w:val="24"/>
        </w:rPr>
        <w:t>Luận chứng 6 — Hiệu ứng tuổi và quá độ phát triển</w:t>
      </w:r>
    </w:p>
    <w:p>
      <w:pPr>
        <w:spacing w:after="120"/>
        <w:ind w:firstLine="425"/>
        <w:jc w:val="both"/>
      </w:pPr>
      <w:r>
        <w:rPr>
          <w:rFonts w:ascii="Times New Roman" w:hAnsi="Times New Roman"/>
          <w:i w:val="0"/>
          <w:sz w:val="24"/>
        </w:rPr>
        <w:t>Jefferies tự phát hiện chính trong nghiên cứu: F(2,6822) = 39,74; p &lt; 0,001 — gender main effect không có nhưng AGE main effect rất mạnh. Phân tích chi tiết: 18–24 tuổi có lo âu cao nhất (M = 25,33), 16–17 thấp nhất (M = 21,92), 25–29 ở giữa (M = 22,44). Mẫu nhỏ tuổi của Jefferies (16–17) cách mẫu Q2 v1 (11–14) khoảng 4–6 năm — một khoảng tuổi rất quan trọng trong quá trình ổn định gender role và mức lo âu xã hội. Hai nghiên cứu không thật sự đo cùng giai đoạn phát triển.</w:t>
      </w:r>
    </w:p>
    <w:p>
      <w:pPr>
        <w:spacing w:before="320" w:after="120"/>
      </w:pPr>
      <w:r>
        <w:rPr>
          <w:rFonts w:ascii="Times New Roman" w:hAnsi="Times New Roman"/>
          <w:b/>
          <w:color w:val="C00000"/>
          <w:sz w:val="28"/>
        </w:rPr>
        <w:t>PHẦN C — ĐỀ XUẤT TIÊU ĐỀ Q3 VÀ Q4</w:t>
      </w:r>
    </w:p>
    <w:p>
      <w:pPr>
        <w:spacing w:before="200" w:after="80"/>
      </w:pPr>
      <w:r>
        <w:rPr>
          <w:rFonts w:ascii="Times New Roman" w:hAnsi="Times New Roman"/>
          <w:b/>
          <w:color w:val="2E74B5"/>
          <w:sz w:val="24"/>
        </w:rPr>
        <w:t>C1. Hai phương án cho lộ trình xuất bản</w:t>
      </w:r>
    </w:p>
    <w:p>
      <w:pPr>
        <w:spacing w:after="120"/>
        <w:ind w:firstLine="425"/>
        <w:jc w:val="both"/>
      </w:pPr>
      <w:r>
        <w:rPr>
          <w:rFonts w:ascii="Times New Roman" w:hAnsi="Times New Roman"/>
          <w:i w:val="0"/>
          <w:sz w:val="24"/>
        </w:rPr>
        <w:t>Em đề xuất hai phương án theo gợi ý của thầy, tùy vào việc dữ liệu có đủ cho bài thứ ba (Q4) hay không:</w:t>
      </w:r>
    </w:p>
    <w:p>
      <w:pPr>
        <w:spacing w:after="60"/>
        <w:ind w:left="283"/>
      </w:pPr>
      <w:r>
        <w:rPr>
          <w:rFonts w:ascii="Times New Roman" w:hAnsi="Times New Roman"/>
          <w:sz w:val="24"/>
        </w:rPr>
        <w:t>• Phương án 2 bài (an toàn): Q2 + Q3 đồng hành submit song song; cả hai sử dụng chung dữ liệu định lượng 1.352 HS THCS Hà Nội.</w:t>
      </w:r>
    </w:p>
    <w:p>
      <w:pPr>
        <w:spacing w:after="60"/>
        <w:ind w:left="283"/>
      </w:pPr>
      <w:r>
        <w:rPr>
          <w:rFonts w:ascii="Times New Roman" w:hAnsi="Times New Roman"/>
          <w:sz w:val="24"/>
        </w:rPr>
        <w:t>• Phương án 3 bài (mở rộng): Q2 + Q3 song hành như Phương án 2; Q4 là bài độc lập sử dụng phương pháp phân tích mới (latent class / network / framework can thiệp). Q4 chỉ khả thi nếu Q2 + Q3 đã thông qua review và dữ liệu cho phép tách phương pháp mới mà không trùng.</w:t>
      </w:r>
    </w:p>
    <w:p>
      <w:pPr>
        <w:spacing w:before="200" w:after="80"/>
      </w:pPr>
      <w:r>
        <w:rPr>
          <w:rFonts w:ascii="Times New Roman" w:hAnsi="Times New Roman"/>
          <w:b/>
          <w:color w:val="2E74B5"/>
          <w:sz w:val="24"/>
        </w:rPr>
        <w:t>C2. Ba đề xuất tiêu đề cho Q3 (companion với Q2)</w:t>
      </w:r>
    </w:p>
    <w:p>
      <w:pPr>
        <w:spacing w:before="200" w:after="80"/>
      </w:pPr>
      <w:r>
        <w:rPr>
          <w:rFonts w:ascii="Times New Roman" w:hAnsi="Times New Roman"/>
          <w:b/>
          <w:color w:val="2E74B5"/>
          <w:sz w:val="24"/>
        </w:rPr>
        <w:t>Q3 — Đề xuất A: SEM phụ chuyên sâu về SAD</w:t>
      </w:r>
    </w:p>
    <w:p>
      <w:pPr>
        <w:spacing w:after="120"/>
        <w:ind w:left="283"/>
      </w:pPr>
      <w:r>
        <w:rPr>
          <w:rFonts w:ascii="Times New Roman" w:hAnsi="Times New Roman"/>
          <w:b/>
          <w:color w:val="006E2E"/>
          <w:sz w:val="24"/>
        </w:rPr>
        <w:t>► ĐỀ XUẤT: "Pathways to social anxiety disorder among Vietnamese lower secondary students: A subtype-specific structural equation analysis of school bullying victimization with developmental and Confucian cultural framing"</w:t>
      </w:r>
    </w:p>
    <w:p>
      <w:pPr>
        <w:spacing w:after="120"/>
        <w:ind w:firstLine="425"/>
        <w:jc w:val="both"/>
      </w:pPr>
      <w:r>
        <w:rPr>
          <w:rFonts w:ascii="Times New Roman" w:hAnsi="Times New Roman"/>
          <w:i w:val="0"/>
          <w:sz w:val="24"/>
        </w:rPr>
        <w:t>Trọng tâm: đào sâu duy nhất phân loại SAD (vì β bắt nạt → SAD = 0,376 cao nhất trong Q2 v1) — phân tích mediation/moderation theo cấu trúc subtype-specific. Lợi thế: tách hoàn toàn về mặt trọng tâm với Q2 (Q2 = tích hợp 3 phân loại; Q3 = chuyên sâu SAD), không trùng lặp. Phù hợp scope Frontiers in Psychiatry section Anxiety and Stress Disorders. Liên kết tự nhiên với phân tích gender difference em vừa luận chứng trong PHẦN B.</w:t>
      </w:r>
    </w:p>
    <w:p>
      <w:pPr>
        <w:spacing w:before="200" w:after="80"/>
      </w:pPr>
      <w:r>
        <w:rPr>
          <w:rFonts w:ascii="Times New Roman" w:hAnsi="Times New Roman"/>
          <w:b/>
          <w:color w:val="2E74B5"/>
          <w:sz w:val="24"/>
        </w:rPr>
        <w:t>Q3 — Đề xuất B: Multi-group SEM theo giới</w:t>
      </w:r>
    </w:p>
    <w:p>
      <w:pPr>
        <w:spacing w:after="120"/>
        <w:ind w:left="283"/>
      </w:pPr>
      <w:r>
        <w:rPr>
          <w:rFonts w:ascii="Times New Roman" w:hAnsi="Times New Roman"/>
          <w:b/>
          <w:color w:val="006E2E"/>
          <w:sz w:val="24"/>
        </w:rPr>
        <w:t>► ĐỀ XUẤT: "Gender-specific pathways to anxiety disorders in early adolescence: A multi-group structural equation model in Vietnamese lower secondary students with comparative discussion to cross-national young adult cohorts"</w:t>
      </w:r>
    </w:p>
    <w:p>
      <w:pPr>
        <w:spacing w:after="120"/>
        <w:ind w:firstLine="425"/>
        <w:jc w:val="both"/>
      </w:pPr>
      <w:r>
        <w:rPr>
          <w:rFonts w:ascii="Times New Roman" w:hAnsi="Times New Roman"/>
          <w:i w:val="0"/>
          <w:sz w:val="24"/>
        </w:rPr>
        <w:t>Trọng tâm: phân tích bất biến đo lường và cấu trúc theo giới (configural → metric → scalar invariance, ΔCFI &lt; 0,01) cho mô hình tích hợp YTNC + YTBV → 3 phân loại RLLA. Lợi thế: trực tiếp trả lời câu hỏi của thầy về cơ chế khác biệt giới, có novel theoretical contribution. So sánh với Jefferies 2020 + McLean 2011 làm framework. Phù hợp Frontiers Psychiatry section Adolescent Psychiatry hoặc BMC Public Health.</w:t>
      </w:r>
    </w:p>
    <w:p>
      <w:pPr>
        <w:spacing w:before="200" w:after="80"/>
      </w:pPr>
      <w:r>
        <w:rPr>
          <w:rFonts w:ascii="Times New Roman" w:hAnsi="Times New Roman"/>
          <w:b/>
          <w:color w:val="2E74B5"/>
          <w:sz w:val="24"/>
        </w:rPr>
        <w:t>Q3 — Đề xuất C: Coping paradox + Confucian endurance script</w:t>
      </w:r>
    </w:p>
    <w:p>
      <w:pPr>
        <w:spacing w:after="120"/>
        <w:ind w:left="283"/>
      </w:pPr>
      <w:r>
        <w:rPr>
          <w:rFonts w:ascii="Times New Roman" w:hAnsi="Times New Roman"/>
          <w:b/>
          <w:color w:val="006E2E"/>
          <w:sz w:val="24"/>
        </w:rPr>
        <w:t>► ĐỀ XUẤT: "Adaptive intent, maladaptive enactment: The coping paradox among Vietnamese lower secondary students and the Confucian script of endurance"</w:t>
      </w:r>
    </w:p>
    <w:p>
      <w:pPr>
        <w:spacing w:after="120"/>
        <w:ind w:firstLine="425"/>
        <w:jc w:val="both"/>
      </w:pPr>
      <w:r>
        <w:rPr>
          <w:rFonts w:ascii="Times New Roman" w:hAnsi="Times New Roman"/>
          <w:i w:val="0"/>
          <w:sz w:val="24"/>
        </w:rPr>
        <w:t>Trọng tâm: phân tích Brief COPE 3-yếu tố cùng RCADS — phát hiện counter-intuitive rằng cả problem-solving + support-seeking đều tương quan dương với lo âu (khác với expectation từ Lazarus &amp; Folkman 1984 + Compas 2017). Giả thuyết frequency vs quality. Cultural framing tam giáo + tinh thần "nhẫn" như em đã verify với Small &amp; Blanc 2021. Lợi thế: phát hiện ngược dòng, có thể attractive cho reviewer. Khó hơn: cần luận chứng theoretical sâu để defend paradox.</w:t>
      </w:r>
    </w:p>
    <w:p>
      <w:pPr>
        <w:spacing w:before="200" w:after="80"/>
      </w:pPr>
      <w:r>
        <w:rPr>
          <w:rFonts w:ascii="Times New Roman" w:hAnsi="Times New Roman"/>
          <w:b/>
          <w:color w:val="2E74B5"/>
          <w:sz w:val="24"/>
        </w:rPr>
        <w:t>C3. Em đề xuất Q3 = Phương án B (gender-specific SEM)</w:t>
      </w:r>
    </w:p>
    <w:p>
      <w:pPr>
        <w:spacing w:after="120"/>
        <w:ind w:left="283"/>
      </w:pPr>
      <w:r>
        <w:rPr>
          <w:rFonts w:ascii="Times New Roman" w:hAnsi="Times New Roman"/>
          <w:b/>
          <w:color w:val="006E2E"/>
          <w:sz w:val="24"/>
        </w:rPr>
        <w:t>► ĐỀ XUẤT: Em đề xuất Q3 = Phương án B (Multi-group SEM theo giới) vì ba lý do.</w:t>
      </w:r>
    </w:p>
    <w:p>
      <w:pPr>
        <w:spacing w:after="60"/>
        <w:ind w:left="283"/>
      </w:pPr>
      <w:r>
        <w:rPr>
          <w:rFonts w:ascii="Times New Roman" w:hAnsi="Times New Roman"/>
          <w:sz w:val="24"/>
        </w:rPr>
        <w:t>• (1) Trực tiếp trả lời câu hỏi quan trọng của thầy về gender difference + dùng được hết các luận chứng em vừa soạn trong PHẦN B — không bỏ phí công sức.</w:t>
      </w:r>
    </w:p>
    <w:p>
      <w:pPr>
        <w:spacing w:after="60"/>
        <w:ind w:left="283"/>
      </w:pPr>
      <w:r>
        <w:rPr>
          <w:rFonts w:ascii="Times New Roman" w:hAnsi="Times New Roman"/>
          <w:sz w:val="24"/>
        </w:rPr>
        <w:t>• (2) Có novel theoretical contribution (multi-group SEM trên cohort 11–14 ở Việt Nam là một sự bổ sung hiếm trong y văn — em rà soát PubMed thấy gần như chưa có).</w:t>
      </w:r>
    </w:p>
    <w:p>
      <w:pPr>
        <w:spacing w:after="60"/>
        <w:ind w:left="283"/>
      </w:pPr>
      <w:r>
        <w:rPr>
          <w:rFonts w:ascii="Times New Roman" w:hAnsi="Times New Roman"/>
          <w:sz w:val="24"/>
        </w:rPr>
        <w:t>• (3) Tách trọng tâm tốt với Q2 (Q2 = tích hợp, Q3 = phân nhóm giới). Có thể submit song song không sợ tự đạo văn.</w:t>
      </w:r>
    </w:p>
    <w:p>
      <w:pPr>
        <w:spacing w:before="200" w:after="80"/>
      </w:pPr>
      <w:r>
        <w:rPr>
          <w:rFonts w:ascii="Times New Roman" w:hAnsi="Times New Roman"/>
          <w:b/>
          <w:color w:val="2E74B5"/>
          <w:sz w:val="24"/>
        </w:rPr>
        <w:t>C4. Ba đề xuất tiêu đề cho Q4 (kế hoạch năm sau, nếu dữ liệu đủ)</w:t>
      </w:r>
    </w:p>
    <w:p>
      <w:pPr>
        <w:spacing w:before="200" w:after="80"/>
      </w:pPr>
      <w:r>
        <w:rPr>
          <w:rFonts w:ascii="Times New Roman" w:hAnsi="Times New Roman"/>
          <w:b/>
          <w:color w:val="2E74B5"/>
          <w:sz w:val="24"/>
        </w:rPr>
        <w:t>Q4 — Đề xuất A: Latent profile analysis</w:t>
      </w:r>
    </w:p>
    <w:p>
      <w:pPr>
        <w:spacing w:after="120"/>
        <w:ind w:left="283"/>
      </w:pPr>
      <w:r>
        <w:rPr>
          <w:rFonts w:ascii="Times New Roman" w:hAnsi="Times New Roman"/>
          <w:b/>
          <w:color w:val="006E2E"/>
          <w:sz w:val="24"/>
        </w:rPr>
        <w:t>► ĐỀ XUẤT: "Anxiety phenotype profiles in Vietnamese lower secondary students: A latent profile analysis with risk-protective indicator integration"</w:t>
      </w:r>
    </w:p>
    <w:p>
      <w:pPr>
        <w:spacing w:after="120"/>
        <w:ind w:firstLine="425"/>
        <w:jc w:val="both"/>
      </w:pPr>
      <w:r>
        <w:rPr>
          <w:rFonts w:ascii="Times New Roman" w:hAnsi="Times New Roman"/>
          <w:i w:val="0"/>
          <w:sz w:val="24"/>
        </w:rPr>
        <w:t>Phương pháp mới: LPA / LCA — phân loại học sinh thành các profile không quan sát được dựa trên kết hợp GAD + SAD + SocAD + YTNC + YTBV. Lợi thế: phương pháp khác Q2/Q3 (không phải SEM), không trùng lặp thống kê. Có thể publish ở tạp chí methodology-friendly như BMC Psychiatry hoặc Journal of Psychopathology and Behavioral Assessment.</w:t>
      </w:r>
    </w:p>
    <w:p>
      <w:pPr>
        <w:spacing w:before="200" w:after="80"/>
      </w:pPr>
      <w:r>
        <w:rPr>
          <w:rFonts w:ascii="Times New Roman" w:hAnsi="Times New Roman"/>
          <w:b/>
          <w:color w:val="2E74B5"/>
          <w:sz w:val="24"/>
        </w:rPr>
        <w:t>Q4 — Đề xuất B: Network analysis</w:t>
      </w:r>
    </w:p>
    <w:p>
      <w:pPr>
        <w:spacing w:after="120"/>
        <w:ind w:left="283"/>
      </w:pPr>
      <w:r>
        <w:rPr>
          <w:rFonts w:ascii="Times New Roman" w:hAnsi="Times New Roman"/>
          <w:b/>
          <w:color w:val="006E2E"/>
          <w:sz w:val="24"/>
        </w:rPr>
        <w:t>► ĐỀ XUẤT: "Network structure of anxiety symptoms and risk factors among Vietnamese lower secondary students: A cross-sectional psychometric network analysis"</w:t>
      </w:r>
    </w:p>
    <w:p>
      <w:pPr>
        <w:spacing w:after="120"/>
        <w:ind w:firstLine="425"/>
        <w:jc w:val="both"/>
      </w:pPr>
      <w:r>
        <w:rPr>
          <w:rFonts w:ascii="Times New Roman" w:hAnsi="Times New Roman"/>
          <w:i w:val="0"/>
          <w:sz w:val="24"/>
        </w:rPr>
        <w:t>Phương pháp mới: Gaussian Graphical Model + centrality analysis — phân tích cấu trúc mạng các triệu chứng lo âu + YTNC + YTBV thay vì mô hình hồi quy. Lợi thế: phương pháp hiện đại + mới được áp dụng cho Việt Nam. Phù hợp Frontiers in Psychology section Quantitative Psychology and Measurement.</w:t>
      </w:r>
    </w:p>
    <w:p>
      <w:pPr>
        <w:spacing w:before="200" w:after="80"/>
      </w:pPr>
      <w:r>
        <w:rPr>
          <w:rFonts w:ascii="Times New Roman" w:hAnsi="Times New Roman"/>
          <w:b/>
          <w:color w:val="2E74B5"/>
          <w:sz w:val="24"/>
        </w:rPr>
        <w:t>Q4 — Đề xuất C: Theoretical framework can thiệp</w:t>
      </w:r>
    </w:p>
    <w:p>
      <w:pPr>
        <w:spacing w:after="120"/>
        <w:ind w:left="283"/>
      </w:pPr>
      <w:r>
        <w:rPr>
          <w:rFonts w:ascii="Times New Roman" w:hAnsi="Times New Roman"/>
          <w:b/>
          <w:color w:val="006E2E"/>
          <w:sz w:val="24"/>
        </w:rPr>
        <w:t>► ĐỀ XUẤT: "Designing subtype-specific prevention interventions for adolescent anxiety in Vietnam: A theoretical framework derived from differential pathway analysis"</w:t>
      </w:r>
    </w:p>
    <w:p>
      <w:pPr>
        <w:spacing w:after="120"/>
        <w:ind w:firstLine="425"/>
        <w:jc w:val="both"/>
      </w:pPr>
      <w:r>
        <w:rPr>
          <w:rFonts w:ascii="Times New Roman" w:hAnsi="Times New Roman"/>
          <w:i w:val="0"/>
          <w:sz w:val="24"/>
        </w:rPr>
        <w:t>Bài lý thuyết / khuyến nghị chính sách: dựa trên kết quả Q2 + Q3 để đề xuất khung thiết kế can thiệp theo subtype-specific pathway. Lợi thế: ít cần dữ liệu mới — tổng hợp các kết quả + khuyến nghị. Phù hợp Health Policy / Public Health / School Mental Health journals. Có thể là target Q2-Q3 IF.</w:t>
      </w:r>
    </w:p>
    <w:p>
      <w:pPr>
        <w:spacing w:before="200" w:after="80"/>
      </w:pPr>
      <w:r>
        <w:rPr>
          <w:rFonts w:ascii="Times New Roman" w:hAnsi="Times New Roman"/>
          <w:b/>
          <w:color w:val="2E74B5"/>
          <w:sz w:val="24"/>
        </w:rPr>
        <w:t>C5. Em đề xuất Q4 = Phương án A (LPA)</w:t>
      </w:r>
    </w:p>
    <w:p>
      <w:pPr>
        <w:spacing w:after="120"/>
        <w:ind w:left="283"/>
      </w:pPr>
      <w:r>
        <w:rPr>
          <w:rFonts w:ascii="Times New Roman" w:hAnsi="Times New Roman"/>
          <w:b/>
          <w:color w:val="006E2E"/>
          <w:sz w:val="24"/>
        </w:rPr>
        <w:t>► ĐỀ XUẤT: Em đề xuất Q4 = Phương án A (Latent profile analysis) vì ba lý do.</w:t>
      </w:r>
    </w:p>
    <w:p>
      <w:pPr>
        <w:spacing w:after="60"/>
        <w:ind w:left="283"/>
      </w:pPr>
      <w:r>
        <w:rPr>
          <w:rFonts w:ascii="Times New Roman" w:hAnsi="Times New Roman"/>
          <w:sz w:val="24"/>
        </w:rPr>
        <w:t>• (1) Phương pháp khác hoàn toàn với Q2/Q3 SEM — không trùng lặp thống kê, không tự đạo văn.</w:t>
      </w:r>
    </w:p>
    <w:p>
      <w:pPr>
        <w:spacing w:after="60"/>
        <w:ind w:left="283"/>
      </w:pPr>
      <w:r>
        <w:rPr>
          <w:rFonts w:ascii="Times New Roman" w:hAnsi="Times New Roman"/>
          <w:sz w:val="24"/>
        </w:rPr>
        <w:t>• (2) Dữ liệu hiện có (1.352 HS, 8 thang đo) đủ cho LPA 3-5 class. Không cần thu thập thêm.</w:t>
      </w:r>
    </w:p>
    <w:p>
      <w:pPr>
        <w:spacing w:after="60"/>
        <w:ind w:left="283"/>
      </w:pPr>
      <w:r>
        <w:rPr>
          <w:rFonts w:ascii="Times New Roman" w:hAnsi="Times New Roman"/>
          <w:sz w:val="24"/>
        </w:rPr>
        <w:t>• (3) Tạo "hat-trick" báo cáo từ một bộ dữ liệu lớn: SEM tích hợp (Q2) + SEM bất biến giới (Q3) + LPA phân lớp tiềm ẩn (Q4) — bộ ba này đáp ứng đầy đủ yêu cầu khoa học cho 3 paper riêng biệt cùng một cohort.</w:t>
      </w:r>
    </w:p>
    <w:p>
      <w:pPr>
        <w:spacing w:before="320" w:after="120"/>
      </w:pPr>
      <w:r>
        <w:rPr>
          <w:rFonts w:ascii="Times New Roman" w:hAnsi="Times New Roman"/>
          <w:b/>
          <w:color w:val="C00000"/>
          <w:sz w:val="28"/>
        </w:rPr>
        <w:t>PHẦN D — KIẾN NGHỊ CỤ THỂ</w:t>
      </w:r>
    </w:p>
    <w:p>
      <w:pPr>
        <w:spacing w:after="120"/>
        <w:ind w:firstLine="425"/>
        <w:jc w:val="both"/>
      </w:pPr>
      <w:r>
        <w:rPr>
          <w:rFonts w:ascii="Times New Roman" w:hAnsi="Times New Roman"/>
          <w:i w:val="0"/>
          <w:sz w:val="24"/>
        </w:rPr>
        <w:t>Em đề xuất nhóm cân nhắc bốn việc tiếp theo:</w:t>
      </w:r>
    </w:p>
    <w:p>
      <w:pPr>
        <w:spacing w:after="60"/>
        <w:ind w:left="283"/>
      </w:pPr>
      <w:r>
        <w:rPr>
          <w:rFonts w:ascii="Times New Roman" w:hAnsi="Times New Roman"/>
          <w:sz w:val="24"/>
        </w:rPr>
        <w:t>• Việc 1: Em sẽ bổ sung Section 4.5 "Gender difference in social anxiety: Reconciliation with cross-national evidence" vào Q2 v1, sử dụng 6 luận chứng đã soạn trong PHẦN B. Bổ sung khoảng 600–800 từ tiếng Anh + tương đương tiếng Việt. Trích dẫn Jefferies &amp; Ungar 2020 sẽ thêm vào References (em đã có PDF gốc tại QT035).</w:t>
      </w:r>
    </w:p>
    <w:p>
      <w:pPr>
        <w:spacing w:after="60"/>
        <w:ind w:left="283"/>
      </w:pPr>
      <w:r>
        <w:rPr>
          <w:rFonts w:ascii="Times New Roman" w:hAnsi="Times New Roman"/>
          <w:sz w:val="24"/>
        </w:rPr>
        <w:t>• Việc 2: Sau khi thầy + chị Hằng confirm chọn Q3 = Phương án B và Q4 = Phương án A, em sẽ soạn outline IMRaD cho Q3 và Q4.</w:t>
      </w:r>
    </w:p>
    <w:p>
      <w:pPr>
        <w:spacing w:after="60"/>
        <w:ind w:left="283"/>
      </w:pPr>
      <w:r>
        <w:rPr>
          <w:rFonts w:ascii="Times New Roman" w:hAnsi="Times New Roman"/>
          <w:sz w:val="24"/>
        </w:rPr>
        <w:t>• Việc 3: Em sẽ cập nhật 4VanDe BLOCKING v4 với (a) cập nhật Q3-6 đạo đức (NCS đã cam kết), (b) thêm Q3-Q4 title list để chị Hằng và thầy xác nhận trước khi đề xuất IRB cùng lúc cho 2 hoặc 3 bài.</w:t>
      </w:r>
    </w:p>
    <w:p>
      <w:pPr>
        <w:spacing w:after="60"/>
        <w:ind w:left="283"/>
      </w:pPr>
      <w:r>
        <w:rPr>
          <w:rFonts w:ascii="Times New Roman" w:hAnsi="Times New Roman"/>
          <w:sz w:val="24"/>
        </w:rPr>
        <w:t>• Việc 4: Em sẽ cập nhật PhuongAnXuLy thành phiên bản v2 với roadmap 3 bài (Q2 → Q3 → Q4) và timeline cụ thể.</w:t>
      </w:r>
    </w:p>
    <w:p>
      <w:pPr>
        <w:spacing w:before="320" w:after="120"/>
      </w:pPr>
      <w:r>
        <w:rPr>
          <w:rFonts w:ascii="Times New Roman" w:hAnsi="Times New Roman"/>
          <w:b/>
          <w:color w:val="C00000"/>
          <w:sz w:val="28"/>
        </w:rPr>
        <w:t>THAM KHẢO</w:t>
      </w:r>
    </w:p>
    <w:p>
      <w:pPr>
        <w:spacing w:after="120"/>
        <w:ind w:left="425" w:hanging="425"/>
      </w:pPr>
      <w:r>
        <w:rPr>
          <w:rFonts w:ascii="Times New Roman" w:hAnsi="Times New Roman"/>
          <w:sz w:val="22"/>
        </w:rPr>
        <w:t>[1] Jefferies P, Ungar M. (2020). Social anxiety in young people: A prevalence study in seven countries. PLOS ONE, 15(9), e0239133. DOI: 10.1371/journal.pone.0239133. PDF: 02_Papers-goc/The-gioi_Au-My-Uc/QT035_Jefferies_SocialAnxiety_7Countries_2020.pdf — em đã đối chiếu trực tiếp.</w:t>
      </w:r>
    </w:p>
    <w:p>
      <w:pPr>
        <w:spacing w:after="120"/>
        <w:ind w:left="425" w:hanging="425"/>
      </w:pPr>
      <w:r>
        <w:rPr>
          <w:rFonts w:ascii="Times New Roman" w:hAnsi="Times New Roman"/>
          <w:sz w:val="22"/>
        </w:rPr>
        <w:t>[2] Hankin BL, Mermelstein R, Roesch L. (2007). Sex differences in adolescent depression: Stress exposure and reactivity models. Child Development, 78(1), 279–295. PMID: 17328705.</w:t>
      </w:r>
    </w:p>
    <w:p>
      <w:pPr>
        <w:spacing w:after="120"/>
        <w:ind w:left="425" w:hanging="425"/>
      </w:pPr>
      <w:r>
        <w:rPr>
          <w:rFonts w:ascii="Times New Roman" w:hAnsi="Times New Roman"/>
          <w:sz w:val="22"/>
        </w:rPr>
        <w:t>[3] McLean CP, Anderson ER. (2009). Brave men and timid women? A review of the gender differences in fear and anxiety. Clinical Psychology Review, 29(6), 496–505. PMID: 19541399.</w:t>
      </w:r>
    </w:p>
    <w:p>
      <w:pPr>
        <w:spacing w:after="120"/>
        <w:ind w:left="425" w:hanging="425"/>
      </w:pPr>
      <w:r>
        <w:rPr>
          <w:rFonts w:ascii="Times New Roman" w:hAnsi="Times New Roman"/>
          <w:sz w:val="22"/>
        </w:rPr>
        <w:t>[4] Hill JP, Lynch ME. (1983). The intensification of gender-related role expectations during early adolescence. In: Brooks-Gunn J, Petersen AC (eds.), Girls at puberty: Biological and psychosocial perspectives. New York: Plenum Press, pp. 201–228.</w:t>
      </w:r>
    </w:p>
    <w:p>
      <w:pPr>
        <w:spacing w:after="120"/>
        <w:ind w:left="425" w:hanging="425"/>
      </w:pPr>
      <w:r>
        <w:rPr>
          <w:rFonts w:ascii="Times New Roman" w:hAnsi="Times New Roman"/>
          <w:sz w:val="22"/>
        </w:rPr>
        <w:t>[5] Kessler RC, Berglund P, Demler O, Jin R, Merikangas KR, Walters EE. (2005). Lifetime prevalence and age-of-onset distributions of DSM-IV disorders in the National Comorbidity Survey Replication. Archives of General Psychiatry, 62(6), 593–602. PMID: 15939837. DOI: 10.1001/archpsyc.62.6.593.</w:t>
      </w:r>
    </w:p>
    <w:p>
      <w:pPr>
        <w:spacing w:after="120"/>
        <w:ind w:left="425" w:hanging="425"/>
      </w:pPr>
      <w:r>
        <w:rPr>
          <w:rFonts w:ascii="Times New Roman" w:hAnsi="Times New Roman"/>
          <w:sz w:val="22"/>
        </w:rPr>
        <w:t>[6] Rose AJ. (2002). Co-rumination in the friendships of girls and boys. Child Development, 73(6), 1830–1843. PMID: 12487497. DOI: 10.1111/1467-8624.00509.</w:t>
      </w:r>
    </w:p>
    <w:p>
      <w:pPr>
        <w:spacing w:after="120"/>
        <w:ind w:left="425" w:hanging="425"/>
      </w:pPr>
      <w:r>
        <w:rPr>
          <w:rFonts w:ascii="Times New Roman" w:hAnsi="Times New Roman"/>
          <w:sz w:val="22"/>
        </w:rPr>
        <w:t>[7] Stankov L. (2010). Unforgiving Confucian culture: A breeding ground for high academic achievement, test anxiety and self-doubt? Learning and Individual Differences, 20(6), 555–563. DOI: 10.1016/j.lindif.2010.05.003.</w:t>
      </w:r>
    </w:p>
    <w:p>
      <w:pPr>
        <w:spacing w:after="120"/>
        <w:ind w:left="425" w:hanging="425"/>
      </w:pPr>
      <w:r>
        <w:rPr>
          <w:rFonts w:ascii="Times New Roman" w:hAnsi="Times New Roman"/>
          <w:sz w:val="22"/>
        </w:rPr>
        <w:t>[8] Small S, Blanc J. (2021). Mental Health During COVID-19: Tam Giao and Vietnam's Response. Frontiers in Psychiatry, 11, 589618. DOI: 10.3389/fpsyt.2020.589618. PMID: 33536961.</w:t>
      </w:r>
    </w:p>
    <w:p>
      <w:pPr>
        <w:spacing w:before="400"/>
        <w:jc w:val="center"/>
      </w:pPr>
      <w:r>
        <w:rPr>
          <w:rFonts w:ascii="Times New Roman" w:hAnsi="Times New Roman"/>
          <w:i/>
          <w:color w:val="808080"/>
          <w:sz w:val="20"/>
        </w:rPr>
        <w:t>Soạn 08/06/2026 — Trả lời tin nhắn thầy Nguyễn Minh Đức ngày 08/06/2026</w:t>
      </w:r>
    </w:p>
    <w:sect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