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Xu hướng rối loạn trầm cảm và lo âu ở VTN và thanh niên (10–24 tuổi) từ 1990 đến 2021: Phân tích GBD</w:t>
      </w:r>
    </w:p>
    <w:p>
      <w:pPr>
        <w:pStyle w:val="Heading2"/>
      </w:pPr>
      <w:r>
        <w:rPr>
          <w:rFonts w:ascii="Times New Roman" w:hAnsi="Times New Roman"/>
          <w:color w:val="000000"/>
        </w:rPr>
        <w:t>Trends in Depressive and Anxiety Disorders among Adolescents and Young Adults (Aged 10–24) from 1990 to 2021: A GBD Study Analysis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Journal of Affective Disorders, 2025 (Q1, IF≈6,6). Zhang D et al. 14 trang.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Phạm vi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204 nước/vùng lãnh thổ, 1990–2021 (GBD 2021)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Đối tượng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VTN và thanh niên 10–24 tuổi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Phương pháp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Joinpoint regression + Age-Period-Cohort analysis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Chỉ số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Tỷ lệ, tỷ suất mới mắc, DALYs cho trầm cảm + lo âu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• Gánh nặng lo âu+trầm cảm tăng TOÀN CẦU, đặc biệt 2014–2021 và nước SDI cao. Joinpoint xác định điểm bẻ 2014.</w:t>
      </w:r>
    </w:p>
    <w:p>
      <w:r>
        <w:rPr>
          <w:rFonts w:ascii="Times New Roman" w:hAnsi="Times New Roman"/>
          <w:b w:val="0"/>
          <w:i w:val="0"/>
          <w:sz w:val="24"/>
        </w:rPr>
        <w:t>• Phản biện: Q1 IF=6,6, GBD 2021, 204 nước. Hạn chế: dữ liệu GBD phụ thuộc báo cáo quốc gia (VN thiếu).</w:t>
      </w:r>
    </w:p>
    <w:p>
      <w:r>
        <w:rPr>
          <w:rFonts w:ascii="Times New Roman" w:hAnsi="Times New Roman"/>
          <w:b w:val="0"/>
          <w:i w:val="0"/>
          <w:sz w:val="24"/>
        </w:rPr>
        <w:t>• Gap: Phân tích riêng ASEAN/Việt Nam từ GBD. So sánh xu hướng VN vs nước SDI cao.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Chỉ số</w:t>
            </w:r>
          </w:p>
        </w:tc>
        <w:tc>
          <w:tcPr>
            <w:tcW w:type="dxa" w:w="3135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Toàn cầu</w:t>
            </w:r>
          </w:p>
        </w:tc>
        <w:tc>
          <w:tcPr>
            <w:tcW w:type="dxa" w:w="3135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Xu hướng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Lo âu 10–14 tuổi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3,6%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Tăng, đặc biệt 2014–2021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Lo âu 15–19 tuổi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4,6%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Tăng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Trầm cảm 10–14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2,1%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Tăng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Trầm cảm 15–19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2,8%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Tăng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AAPC tăng nhanh nhất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2014–2021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Đỉnh 2019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SDI cao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Tỷ lệ cao nhất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Nước thu nhập cao gánh nặng lớn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QUAN ĐIỂM PHẢN BIỆN / CRITICAL REVIEW</w:t>
      </w:r>
    </w:p>
    <w:p>
      <w:r>
        <w:rPr>
          <w:rFonts w:ascii="Times New Roman" w:hAnsi="Times New Roman"/>
          <w:b w:val="0"/>
          <w:color w:val="FF0000"/>
          <w:sz w:val="24"/>
        </w:rPr>
        <w:t>Q1 IF=6,6, GBD 2021, 204 nước. Hạn chế: dữ liệu GBD phụ thuộc báo cáo quốc gia (VN thiếu).</w:t>
      </w:r>
    </w:p>
    <w:p>
      <w:r>
        <w:rPr>
          <w:rFonts w:ascii="Times New Roman" w:hAnsi="Times New Roman"/>
          <w:b w:val="0"/>
          <w:color w:val="FF0000"/>
          <w:sz w:val="24"/>
        </w:rPr>
        <w:t>Khoảng trống: Phân tích riêng ASEAN/Việt Nam từ GBD. So sánh xu hướng VN vs nước SDI cao.</w:t>
      </w:r>
    </w:p>
    <w:p>
      <w:r>
        <w:rPr>
          <w:rFonts w:ascii="Times New Roman" w:hAnsi="Times New Roman"/>
          <w:b/>
          <w:i w:val="0"/>
          <w:sz w:val="24"/>
        </w:rPr>
        <w:t>Đánh giá: ⭐⭐⭐⭐⭐ Q1, GBD 2021, 204 nước, joinpoint nâng cao.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