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Tỷ lệ và các yếu tố liên quan của lo âu ở VTN đi học: Phân tích từ 59 quốc gia</w:t>
      </w:r>
    </w:p>
    <w:p>
      <w:pPr>
        <w:pStyle w:val="Heading2"/>
      </w:pPr>
      <w:r>
        <w:rPr>
          <w:rFonts w:ascii="Times New Roman" w:hAnsi="Times New Roman"/>
          <w:color w:val="000000"/>
        </w:rPr>
        <w:t>Prevalence of and Factors Associated with Anxiety among School Going Adolescents: Analysis from 59 Countries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Journal of Affective Disorders, 2025 (Q1, IF≈6,6). Islam MA et al. 11 trang.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59 quốc gia, dữ liệu GSHS (Global School-based Student Health Survey)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Đối tượng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VTN đi học, nhiều vùng WHO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đa quốc gia, hồi quy đa cấp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ĐNA có tỷ lệ lo âu THẤP NHẤT (3,6%). Tuy nhiên, dữ liệu GSHS có thể đánh giá thấp do phương pháp.</w:t>
      </w:r>
    </w:p>
    <w:p>
      <w:r>
        <w:rPr>
          <w:rFonts w:ascii="Times New Roman" w:hAnsi="Times New Roman"/>
          <w:b w:val="0"/>
          <w:i w:val="0"/>
          <w:sz w:val="24"/>
        </w:rPr>
        <w:t>• Phản biện: Q1, 59 nước, GSHS chuẩn hóa. Hạn chế: GSHS chỉ 1–2 câu hỏi lo âu (không phải GAD-7).</w:t>
      </w:r>
    </w:p>
    <w:p>
      <w:r>
        <w:rPr>
          <w:rFonts w:ascii="Times New Roman" w:hAnsi="Times New Roman"/>
          <w:b w:val="0"/>
          <w:i w:val="0"/>
          <w:sz w:val="24"/>
        </w:rPr>
        <w:t>• Gap: So sánh GSHS vs GAD-7 trên cùng mẫu VTN ĐNA. Giải thích tại sao ĐNA thấp nhất.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Vùng WHO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</w:t>
            </w:r>
          </w:p>
        </w:tc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Đông Địa Trung Hải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14,6%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Châu Phi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11,0%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Thứ 2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Châu Mỹ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~8–10%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Tây Thái Bình Dương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~5–8%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Đông Nam Á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3,6%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Yếu tố nguy cơ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Bắt nạt, cô đơn, thiếu bạn thân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Liên quốc gia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Yếu tố bảo vệ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Hỗ trợ cha mẹ, giáo dục cha mẹ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Liên quốc gia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Q1, 59 nước, GSHS chuẩn hóa. Hạn chế: GSHS chỉ 1–2 câu hỏi lo âu (không phải GAD-7).</w:t>
      </w:r>
    </w:p>
    <w:p>
      <w:r>
        <w:rPr>
          <w:rFonts w:ascii="Times New Roman" w:hAnsi="Times New Roman"/>
          <w:b w:val="0"/>
          <w:color w:val="FF0000"/>
          <w:sz w:val="24"/>
        </w:rPr>
        <w:t>Khoảng trống: So sánh GSHS vs GAD-7 trên cùng mẫu VTN ĐNA. Giải thích tại sao ĐNA thấp nhất.</w:t>
      </w:r>
    </w:p>
    <w:p>
      <w:r>
        <w:rPr>
          <w:rFonts w:ascii="Times New Roman" w:hAnsi="Times New Roman"/>
          <w:b/>
          <w:i w:val="0"/>
          <w:sz w:val="24"/>
        </w:rPr>
        <w:t>Đánh giá: ⭐⭐⭐⭐ Q1, 59 nước, so sánh liên quốc gia.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