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Khám phá xu hướng thay đổi trầm cảm và lo âu ở VTN từ 2012 đến 2019: Từ khảo sát My World</w:t>
      </w:r>
    </w:p>
    <w:p>
      <w:pPr>
        <w:pStyle w:val="Heading2"/>
      </w:pPr>
      <w:r>
        <w:rPr>
          <w:rFonts w:ascii="Times New Roman" w:hAnsi="Times New Roman"/>
          <w:color w:val="000000"/>
        </w:rPr>
        <w:t>Exploring Changing Trends in Depression and Anxiety among Adolescents from 2012 to 2019: Insights from My World Repeated Cross-sectional Surveys</w:t>
      </w:r>
    </w:p>
    <w:p>
      <w:pPr>
        <w:pStyle w:val="Heading2"/>
      </w:pPr>
      <w:r>
        <w:rPr>
          <w:rFonts w:ascii="Times New Roman" w:hAnsi="Times New Roman"/>
          <w:color w:val="000000"/>
        </w:rPr>
        <w:t>THÔNG TIN THƯ MỤC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Tạp chí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Early Intervention in Psychiatry, 2024. Fitzgerald A et al. Ireland. 11 trang.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Phạm vi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Ireland, 2 đợt khảo sát 2012 và 2019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Đối tượng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VTN Ireland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Phương pháp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Cắt ngang lặp lại (repeated cross-sectional)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0000"/>
        </w:rPr>
        <w:t>TÓM TẮT ĐÁNH GIÁ NHANH</w:t>
      </w:r>
    </w:p>
    <w:p>
      <w:r>
        <w:rPr>
          <w:rFonts w:ascii="Times New Roman" w:hAnsi="Times New Roman"/>
          <w:b/>
          <w:i w:val="0"/>
          <w:sz w:val="24"/>
        </w:rPr>
        <w:t>• Xu hướng tăng 7 năm Ireland, nữ tăng nhanh hơn. Phù hợp Na Uy (2025) và JAACAP (2024).</w:t>
      </w:r>
    </w:p>
    <w:p>
      <w:r>
        <w:rPr>
          <w:rFonts w:ascii="Times New Roman" w:hAnsi="Times New Roman"/>
          <w:b w:val="0"/>
          <w:i w:val="0"/>
          <w:sz w:val="24"/>
        </w:rPr>
        <w:t>• Phản biện: Thiết kế cắt ngang lặp lại — tốt hơn đơn cắt ngang. Hạn chế: chỉ Ireland, tự báo cáo.</w:t>
      </w:r>
    </w:p>
    <w:p>
      <w:r>
        <w:rPr>
          <w:rFonts w:ascii="Times New Roman" w:hAnsi="Times New Roman"/>
          <w:b w:val="0"/>
          <w:i w:val="0"/>
          <w:sz w:val="24"/>
        </w:rPr>
        <w:t>• Gap: So sánh xu hướng Ireland vs VN. Can thiệp nhắm nữ VTN.</w:t>
      </w:r>
    </w:p>
    <w:p>
      <w:pPr>
        <w:pStyle w:val="Heading2"/>
      </w:pPr>
      <w:r>
        <w:rPr>
          <w:rFonts w:ascii="Times New Roman" w:hAnsi="Times New Roman"/>
          <w:color w:val="000000"/>
        </w:rPr>
        <w:t>KẾT QUẢ CHÍNH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tcW w:w="2268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Chỉ số</w:t>
            </w:r>
          </w:p>
        </w:tc>
        <w:tc>
          <w:tcPr>
            <w:tcW w:type="dxa" w:w="4702"/>
            <w:tcW w:w="4536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Phát hiện</w:t>
            </w:r>
          </w:p>
        </w:tc>
      </w:tr>
      <w:tr>
        <w:tc>
          <w:tcPr>
            <w:tcW w:type="dxa" w:w="4702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Xu hướng 2012→2019</w:t>
            </w:r>
          </w:p>
        </w:tc>
        <w:tc>
          <w:tcPr>
            <w:tcW w:type="dxa" w:w="4702"/>
            <w:tcW w:w="4536" w:type="dxa"/>
          </w:tcPr>
          <w:p>
            <w:r>
              <w:rPr>
                <w:rFonts w:ascii="Times New Roman" w:hAnsi="Times New Roman"/>
                <w:sz w:val="20"/>
              </w:rPr>
              <w:t>Trầm cảm và lo âu TĂNG có ý nghĩa, đặc biệt ở NỮ</w:t>
            </w:r>
          </w:p>
        </w:tc>
      </w:tr>
      <w:tr>
        <w:tc>
          <w:tcPr>
            <w:tcW w:type="dxa" w:w="4702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Yếu tố dự báo</w:t>
            </w:r>
          </w:p>
        </w:tc>
        <w:tc>
          <w:tcPr>
            <w:tcW w:type="dxa" w:w="4702"/>
            <w:tcW w:w="4536" w:type="dxa"/>
          </w:tcPr>
          <w:p>
            <w:r>
              <w:rPr>
                <w:rFonts w:ascii="Times New Roman" w:hAnsi="Times New Roman"/>
                <w:sz w:val="20"/>
              </w:rPr>
              <w:t>Giải thích 37–61% phương sai</w:t>
            </w:r>
          </w:p>
        </w:tc>
      </w:tr>
      <w:tr>
        <w:tc>
          <w:tcPr>
            <w:tcW w:type="dxa" w:w="4702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Yếu tố nguy cơ</w:t>
            </w:r>
          </w:p>
        </w:tc>
        <w:tc>
          <w:tcPr>
            <w:tcW w:type="dxa" w:w="4702"/>
            <w:tcW w:w="4536" w:type="dxa"/>
          </w:tcPr>
          <w:p>
            <w:r>
              <w:rPr>
                <w:rFonts w:ascii="Times New Roman" w:hAnsi="Times New Roman"/>
                <w:sz w:val="20"/>
              </w:rPr>
              <w:t>Bắt nạt, mạng xã hội, stress</w:t>
            </w:r>
          </w:p>
        </w:tc>
      </w:tr>
      <w:tr>
        <w:tc>
          <w:tcPr>
            <w:tcW w:type="dxa" w:w="4702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Yếu tố bảo vệ</w:t>
            </w:r>
          </w:p>
        </w:tc>
        <w:tc>
          <w:tcPr>
            <w:tcW w:type="dxa" w:w="4702"/>
            <w:tcW w:w="4536" w:type="dxa"/>
          </w:tcPr>
          <w:p>
            <w:r>
              <w:rPr>
                <w:rFonts w:ascii="Times New Roman" w:hAnsi="Times New Roman"/>
                <w:sz w:val="20"/>
              </w:rPr>
              <w:t>Lòng tự trọng, hỗ trợ xã hội, hoạt động thể chất</w:t>
            </w:r>
          </w:p>
        </w:tc>
      </w:tr>
      <w:tr>
        <w:tc>
          <w:tcPr>
            <w:tcW w:type="dxa" w:w="4702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Giới tính</w:t>
            </w:r>
          </w:p>
        </w:tc>
        <w:tc>
          <w:tcPr>
            <w:tcW w:type="dxa" w:w="4702"/>
            <w:tcW w:w="4536" w:type="dxa"/>
          </w:tcPr>
          <w:p>
            <w:r>
              <w:rPr>
                <w:rFonts w:ascii="Times New Roman" w:hAnsi="Times New Roman"/>
                <w:sz w:val="20"/>
              </w:rPr>
              <w:t>Nữ tăng nhanh hơn nam</w:t>
            </w:r>
          </w:p>
        </w:tc>
      </w:tr>
      <w:tr>
        <w:tc>
          <w:tcPr>
            <w:tcW w:type="dxa" w:w="4702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Khuyến nghị</w:t>
            </w:r>
          </w:p>
        </w:tc>
        <w:tc>
          <w:tcPr>
            <w:tcW w:type="dxa" w:w="4702"/>
            <w:tcW w:w="4536" w:type="dxa"/>
          </w:tcPr>
          <w:p>
            <w:r>
              <w:rPr>
                <w:rFonts w:ascii="Times New Roman" w:hAnsi="Times New Roman"/>
                <w:sz w:val="20"/>
              </w:rPr>
              <w:t>Ưu tiên dịch vụ SKTT cho nữ VTN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0000"/>
        </w:rPr>
        <w:t>QUAN ĐIỂM PHẢN BIỆN / CRITICAL REVIEW</w:t>
      </w:r>
    </w:p>
    <w:p>
      <w:r>
        <w:rPr>
          <w:rFonts w:ascii="Times New Roman" w:hAnsi="Times New Roman"/>
          <w:b w:val="0"/>
          <w:color w:val="FF0000"/>
          <w:sz w:val="24"/>
        </w:rPr>
        <w:t>Thiết kế cắt ngang lặp lại — tốt hơn đơn cắt ngang. Hạn chế: chỉ Ireland, tự báo cáo.</w:t>
      </w:r>
    </w:p>
    <w:p>
      <w:r>
        <w:rPr>
          <w:rFonts w:ascii="Times New Roman" w:hAnsi="Times New Roman"/>
          <w:b w:val="0"/>
          <w:color w:val="FF0000"/>
          <w:sz w:val="24"/>
        </w:rPr>
        <w:t>Khoảng trống: So sánh xu hướng Ireland vs VN. Can thiệp nhắm nữ VTN.</w:t>
      </w:r>
    </w:p>
    <w:p>
      <w:r>
        <w:rPr>
          <w:rFonts w:ascii="Times New Roman" w:hAnsi="Times New Roman"/>
          <w:b/>
          <w:i w:val="0"/>
          <w:sz w:val="24"/>
        </w:rPr>
        <w:t>Đánh giá: ⭐⭐⭐⭐ Cắt ngang lặp lại, xu hướng 7 năm, yếu tố giải thích.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