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Xu hướng quốc gia về SKTT VTN theo thu nhập tại Hàn Quốc, trước và sau COVID-19, 2006–2022</w:t>
      </w:r>
    </w:p>
    <w:p>
      <w:pPr>
        <w:pStyle w:val="Heading2"/>
      </w:pPr>
      <w:r>
        <w:rPr>
          <w:rFonts w:ascii="Times New Roman" w:hAnsi="Times New Roman"/>
          <w:color w:val="000000"/>
        </w:rPr>
        <w:t>National Trends in Adolescents’ Mental Health by Income Level in South Korea, Pre– and Post–COVID-19, 2006–2022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Nature Scientific Reports, 2024 (Q1, IF≈4,6). Hàn Quốc. 10 trang. KYRBS 2006–2022.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Phạm vi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Hàn Quốc, KYRBS quốc gia 2006–2022 (16 năm)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Đối tượng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VTN THCS + THPT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Phương pháp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Phân tích xu hướng theo thu nhập, COVID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• Xu hướng 16 năm: SKTT cải thiện trước COVID, xấu đi sau COVID. Thu nhập thấp luôn tệ hơn + khoảng cách mở rộng.</w:t>
      </w:r>
    </w:p>
    <w:p>
      <w:r>
        <w:rPr>
          <w:rFonts w:ascii="Times New Roman" w:hAnsi="Times New Roman"/>
          <w:b w:val="0"/>
          <w:i w:val="0"/>
          <w:sz w:val="24"/>
        </w:rPr>
        <w:t>• Phản biện: Nature Q1, KYRBS quốc gia, 16 năm. Hạn chế: chỉ Hàn Quốc, đo stress/buồn (không tách lo âu riêng).</w:t>
      </w:r>
    </w:p>
    <w:p>
      <w:r>
        <w:rPr>
          <w:rFonts w:ascii="Times New Roman" w:hAnsi="Times New Roman"/>
          <w:b w:val="0"/>
          <w:i w:val="0"/>
          <w:sz w:val="24"/>
        </w:rPr>
        <w:t>• Gap: So sánh xu hướng Hàn Quốc vs VN. Phân tích bất bình đẳng thu nhập trong SKTT VTN VN.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2006/trước COVID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2022/sau COVID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Xu hướng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Stress (thu nhập cao)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40,1%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Giảm trước COVID, tăng sau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Stress (thu nhập thấp)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62,8%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Luôn cao hơn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Buồn bã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28,2%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sau COVID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Ý tưởng tự tử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13,9%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 sau COVID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Cố tự tử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Tăng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Bất bình đẳng thu nhập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Chênh lệch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Mở rộng sau COVID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Thu nhập thấp tệ hơn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QUAN ĐIỂM PHẢN BIỆN / CRITICAL REVIEW</w:t>
      </w:r>
    </w:p>
    <w:p>
      <w:r>
        <w:rPr>
          <w:rFonts w:ascii="Times New Roman" w:hAnsi="Times New Roman"/>
          <w:b w:val="0"/>
          <w:color w:val="FF0000"/>
          <w:sz w:val="24"/>
        </w:rPr>
        <w:t>Nature Q1, KYRBS quốc gia, 16 năm. Hạn chế: chỉ Hàn Quốc, đo stress/buồn (không tách lo âu riêng).</w:t>
      </w:r>
    </w:p>
    <w:p>
      <w:r>
        <w:rPr>
          <w:rFonts w:ascii="Times New Roman" w:hAnsi="Times New Roman"/>
          <w:b w:val="0"/>
          <w:color w:val="FF0000"/>
          <w:sz w:val="24"/>
        </w:rPr>
        <w:t>Khoảng trống: So sánh xu hướng Hàn Quốc vs VN. Phân tích bất bình đẳng thu nhập trong SKTT VTN VN.</w:t>
      </w:r>
    </w:p>
    <w:p>
      <w:r>
        <w:rPr>
          <w:rFonts w:ascii="Times New Roman" w:hAnsi="Times New Roman"/>
          <w:b/>
          <w:i w:val="0"/>
          <w:sz w:val="24"/>
        </w:rPr>
        <w:t>Đánh giá: ⭐⭐⭐⭐ Nature Q1, KYRBS 16 năm, bất bình đẳng thu nhập.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