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color w:val="0070C0"/>
          <w:sz w:val="24"/>
        </w:rPr>
        <w:t>Tóm tắt: Xu hướng rối loạn trầm cảm và lo âu ở VTN và thanh niên (10–24 tuổi) từ 1990 đến...</w:t>
      </w:r>
    </w:p>
    <w:p>
      <w:r>
        <w:rPr>
          <w:rFonts w:ascii="Times New Roman" w:hAnsi="Times New Roman"/>
          <w:b/>
          <w:color w:val="FF0000"/>
          <w:sz w:val="24"/>
        </w:rPr>
        <w:t>Tên công trình</w:t>
      </w:r>
    </w:p>
    <w:p>
      <w:r>
        <w:rPr>
          <w:rFonts w:ascii="Times New Roman" w:hAnsi="Times New Roman"/>
          <w:color w:val="0070C0"/>
          <w:sz w:val="24"/>
        </w:rPr>
        <w:t>Xu hướng rối loạn trầm cảm và lo âu ở VTN và thanh niên (10–24 tuổi) từ 1990 đến 2021: Phân tích GBD. Journal of Affective Disorders, 2025 (Q1, IF≈6,6). Zhang D et al. 14 trang.</w:t>
      </w:r>
    </w:p>
    <w:p>
      <w:r>
        <w:rPr>
          <w:rFonts w:ascii="Times New Roman" w:hAnsi="Times New Roman"/>
          <w:b/>
          <w:color w:val="FF0000"/>
          <w:sz w:val="24"/>
        </w:rPr>
        <w:t>Kết quả chính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Chỉ số</w:t>
            </w:r>
          </w:p>
        </w:tc>
        <w:tc>
          <w:tcPr>
            <w:tcW w:type="dxa" w:w="3135"/>
            <w:tcW w:w="1984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Toàn cầu</w:t>
            </w:r>
          </w:p>
        </w:tc>
        <w:tc>
          <w:tcPr>
            <w:tcW w:type="dxa" w:w="3135"/>
            <w:tcW w:w="2551" w:type="dxa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Xu hướng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Lo âu 10–14 tuổi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3,6%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Tăng, đặc biệt 2014–2021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Lo âu 15–19 tuổi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4,6%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Tăng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Trầm cảm 10–14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2,1%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Tăng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Trầm cảm 15–19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2,8%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Tăng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AAPC tăng nhanh nhất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2014–2021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Đỉnh 2019</w:t>
            </w:r>
          </w:p>
        </w:tc>
      </w:tr>
      <w:tr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SDI cao</w:t>
            </w:r>
          </w:p>
        </w:tc>
        <w:tc>
          <w:tcPr>
            <w:tcW w:type="dxa" w:w="3135"/>
            <w:tcW w:w="1984" w:type="dxa"/>
          </w:tcPr>
          <w:p>
            <w:r>
              <w:rPr>
                <w:rFonts w:ascii="Times New Roman" w:hAnsi="Times New Roman"/>
                <w:sz w:val="20"/>
              </w:rPr>
              <w:t>Tỷ lệ cao nhất</w:t>
            </w:r>
          </w:p>
        </w:tc>
        <w:tc>
          <w:tcPr>
            <w:tcW w:type="dxa" w:w="3135"/>
            <w:tcW w:w="2551" w:type="dxa"/>
          </w:tcPr>
          <w:p>
            <w:r>
              <w:rPr>
                <w:rFonts w:ascii="Times New Roman" w:hAnsi="Times New Roman"/>
                <w:sz w:val="20"/>
              </w:rPr>
              <w:t>Nước thu nhập cao gánh nặng lớn</w:t>
            </w:r>
          </w:p>
        </w:tc>
      </w:tr>
    </w:tbl>
    <w:p>
      <w:pPr>
        <w:pStyle w:val="Heading2"/>
      </w:pPr>
      <w:r>
        <w:rPr>
          <w:rFonts w:ascii="Times New Roman" w:hAnsi="Times New Roman"/>
          <w:color w:val="FF0000"/>
        </w:rPr>
        <w:t>Phản biện</w:t>
      </w:r>
    </w:p>
    <w:p>
      <w:r>
        <w:rPr>
          <w:rFonts w:ascii="Times New Roman" w:hAnsi="Times New Roman"/>
          <w:color w:val="FF0000"/>
          <w:sz w:val="24"/>
        </w:rPr>
        <w:t>Q1 IF=6,6, GBD 2021, 204 nước. Hạn chế: dữ liệu GBD phụ thuộc báo cáo quốc gia (VN thiếu).</w:t>
      </w:r>
    </w:p>
    <w:p>
      <w:r>
        <w:rPr>
          <w:rFonts w:ascii="Times New Roman" w:hAnsi="Times New Roman"/>
          <w:b/>
          <w:sz w:val="24"/>
        </w:rPr>
        <w:t>Đánh giá: ⭐⭐⭐⭐⭐ Q1, GBD 2021, 204 nước, joinpoint nâng cao.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