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70C0"/>
          <w:sz w:val="24"/>
        </w:rPr>
        <w:t>Tóm tắt: Tỷ lệ và các yếu tố liên quan của lo âu ở VTN đi học: Phân tích từ 59 quốc gia...</w:t>
      </w:r>
    </w:p>
    <w:p>
      <w:r>
        <w:rPr>
          <w:rFonts w:ascii="Times New Roman" w:hAnsi="Times New Roman"/>
          <w:b/>
          <w:color w:val="FF0000"/>
          <w:sz w:val="24"/>
        </w:rPr>
        <w:t>Tên công trình</w:t>
      </w:r>
    </w:p>
    <w:p>
      <w:r>
        <w:rPr>
          <w:rFonts w:ascii="Times New Roman" w:hAnsi="Times New Roman"/>
          <w:color w:val="0070C0"/>
          <w:sz w:val="24"/>
        </w:rPr>
        <w:t>Tỷ lệ và các yếu tố liên quan của lo âu ở VTN đi học: Phân tích từ 59 quốc gia. Journal of Affective Disorders, 2025 (Q1, IF≈6,6). Islam MA et al. 11 trang.</w:t>
      </w:r>
    </w:p>
    <w:p>
      <w:r>
        <w:rPr>
          <w:rFonts w:ascii="Times New Roman" w:hAnsi="Times New Roman"/>
          <w:b/>
          <w:color w:val="FF0000"/>
          <w:sz w:val="24"/>
        </w:rPr>
        <w:t>Kết quả chính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tcW w:w="1984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Vùng WHO</w:t>
            </w:r>
          </w:p>
        </w:tc>
        <w:tc>
          <w:tcPr>
            <w:tcW w:type="dxa" w:w="3135"/>
            <w:tcW w:w="1701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Tỷ lệ lo âu</w:t>
            </w:r>
          </w:p>
        </w:tc>
        <w:tc>
          <w:tcPr>
            <w:tcW w:type="dxa" w:w="3135"/>
            <w:tcW w:w="2551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Ghi chú</w:t>
            </w:r>
          </w:p>
        </w:tc>
      </w:tr>
      <w:tr>
        <w:tc>
          <w:tcPr>
            <w:tcW w:type="dxa" w:w="3135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Đông Địa Trung Hải</w:t>
            </w:r>
          </w:p>
        </w:tc>
        <w:tc>
          <w:tcPr>
            <w:tcW w:type="dxa" w:w="3135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14,6%</w:t>
            </w:r>
          </w:p>
        </w:tc>
        <w:tc>
          <w:tcPr>
            <w:tcW w:type="dxa" w:w="3135"/>
            <w:tcW w:w="2551" w:type="dxa"/>
          </w:tcPr>
          <w:p>
            <w:r>
              <w:rPr>
                <w:rFonts w:ascii="Times New Roman" w:hAnsi="Times New Roman"/>
                <w:sz w:val="20"/>
              </w:rPr>
              <w:t>Cao nhất</w:t>
            </w:r>
          </w:p>
        </w:tc>
      </w:tr>
      <w:tr>
        <w:tc>
          <w:tcPr>
            <w:tcW w:type="dxa" w:w="3135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Châu Phi</w:t>
            </w:r>
          </w:p>
        </w:tc>
        <w:tc>
          <w:tcPr>
            <w:tcW w:type="dxa" w:w="3135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11,0%</w:t>
            </w:r>
          </w:p>
        </w:tc>
        <w:tc>
          <w:tcPr>
            <w:tcW w:type="dxa" w:w="3135"/>
            <w:tcW w:w="2551" w:type="dxa"/>
          </w:tcPr>
          <w:p>
            <w:r>
              <w:rPr>
                <w:rFonts w:ascii="Times New Roman" w:hAnsi="Times New Roman"/>
                <w:sz w:val="20"/>
              </w:rPr>
              <w:t>Thứ 2</w:t>
            </w:r>
          </w:p>
        </w:tc>
      </w:tr>
      <w:tr>
        <w:tc>
          <w:tcPr>
            <w:tcW w:type="dxa" w:w="3135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Châu Mỹ</w:t>
            </w:r>
          </w:p>
        </w:tc>
        <w:tc>
          <w:tcPr>
            <w:tcW w:type="dxa" w:w="3135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~8–10%</w:t>
            </w:r>
          </w:p>
        </w:tc>
        <w:tc>
          <w:tcPr>
            <w:tcW w:type="dxa" w:w="3135"/>
            <w:tcW w:w="2551" w:type="dxa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3135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Tây Thái Bình Dương</w:t>
            </w:r>
          </w:p>
        </w:tc>
        <w:tc>
          <w:tcPr>
            <w:tcW w:type="dxa" w:w="3135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~5–8%</w:t>
            </w:r>
          </w:p>
        </w:tc>
        <w:tc>
          <w:tcPr>
            <w:tcW w:type="dxa" w:w="3135"/>
            <w:tcW w:w="2551" w:type="dxa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3135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Đông Nam Á</w:t>
            </w:r>
          </w:p>
        </w:tc>
        <w:tc>
          <w:tcPr>
            <w:tcW w:type="dxa" w:w="3135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3,6%</w:t>
            </w:r>
          </w:p>
        </w:tc>
        <w:tc>
          <w:tcPr>
            <w:tcW w:type="dxa" w:w="3135"/>
            <w:tcW w:w="2551" w:type="dxa"/>
          </w:tcPr>
          <w:p>
            <w:r>
              <w:rPr>
                <w:rFonts w:ascii="Times New Roman" w:hAnsi="Times New Roman"/>
                <w:sz w:val="20"/>
              </w:rPr>
              <w:t>THẤP NHẤT</w:t>
            </w:r>
          </w:p>
        </w:tc>
      </w:tr>
      <w:tr>
        <w:tc>
          <w:tcPr>
            <w:tcW w:type="dxa" w:w="3135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Yếu tố nguy cơ</w:t>
            </w:r>
          </w:p>
        </w:tc>
        <w:tc>
          <w:tcPr>
            <w:tcW w:type="dxa" w:w="3135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Bắt nạt, cô đơn, thiếu bạn thân</w:t>
            </w:r>
          </w:p>
        </w:tc>
        <w:tc>
          <w:tcPr>
            <w:tcW w:type="dxa" w:w="3135"/>
            <w:tcW w:w="2551" w:type="dxa"/>
          </w:tcPr>
          <w:p>
            <w:r>
              <w:rPr>
                <w:rFonts w:ascii="Times New Roman" w:hAnsi="Times New Roman"/>
                <w:sz w:val="20"/>
              </w:rPr>
              <w:t>Liên quốc gia</w:t>
            </w:r>
          </w:p>
        </w:tc>
      </w:tr>
      <w:tr>
        <w:tc>
          <w:tcPr>
            <w:tcW w:type="dxa" w:w="3135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Yếu tố bảo vệ</w:t>
            </w:r>
          </w:p>
        </w:tc>
        <w:tc>
          <w:tcPr>
            <w:tcW w:type="dxa" w:w="3135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Hỗ trợ cha mẹ, giáo dục cha mẹ</w:t>
            </w:r>
          </w:p>
        </w:tc>
        <w:tc>
          <w:tcPr>
            <w:tcW w:type="dxa" w:w="3135"/>
            <w:tcW w:w="2551" w:type="dxa"/>
          </w:tcPr>
          <w:p>
            <w:r>
              <w:rPr>
                <w:rFonts w:ascii="Times New Roman" w:hAnsi="Times New Roman"/>
                <w:sz w:val="20"/>
              </w:rPr>
              <w:t>Liên quốc gia</w:t>
            </w:r>
          </w:p>
        </w:tc>
      </w:tr>
    </w:tbl>
    <w:p>
      <w:pPr>
        <w:pStyle w:val="Heading2"/>
      </w:pPr>
      <w:r>
        <w:rPr>
          <w:rFonts w:ascii="Times New Roman" w:hAnsi="Times New Roman"/>
          <w:color w:val="FF0000"/>
        </w:rPr>
        <w:t>Phản biện</w:t>
      </w:r>
    </w:p>
    <w:p>
      <w:r>
        <w:rPr>
          <w:rFonts w:ascii="Times New Roman" w:hAnsi="Times New Roman"/>
          <w:color w:val="FF0000"/>
          <w:sz w:val="24"/>
        </w:rPr>
        <w:t>Q1, 59 nước, GSHS chuẩn hóa. Hạn chế: GSHS chỉ 1–2 câu hỏi lo âu (không phải GAD-7).</w:t>
      </w:r>
    </w:p>
    <w:p>
      <w:r>
        <w:rPr>
          <w:rFonts w:ascii="Times New Roman" w:hAnsi="Times New Roman"/>
          <w:b/>
          <w:sz w:val="24"/>
        </w:rPr>
        <w:t>Đánh giá: ⭐⭐⭐⭐ Q1, 59 nước, so sánh liên quốc gia.</w:t>
      </w:r>
    </w:p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