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Khám phá xu hướng thay đổi trầm cảm và lo âu ở VTN từ 2012 đến 2019: Từ khảo sát...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color w:val="0070C0"/>
          <w:sz w:val="24"/>
        </w:rPr>
        <w:t>Khám phá xu hướng thay đổi trầm cảm và lo âu ở VTN từ 2012 đến 2019: Từ khảo sát My World. Early Intervention in Psychiatry, 2024. Fitzgerald A et al. Ireland. 11 trang.</w:t>
      </w:r>
    </w:p>
    <w:p>
      <w:r>
        <w:rPr>
          <w:rFonts w:ascii="Times New Roman" w:hAnsi="Times New Roman"/>
          <w:b/>
          <w:color w:val="FF0000"/>
          <w:sz w:val="24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4702"/>
            <w:tcW w:w="4536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Xu hướng 2012→2019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Trầm cảm và lo âu TĂNG có ý nghĩa, đặc biệt ở NỮ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dự báo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Giải thích 37–61% phương sai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nguy cơ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Bắt nạt, mạng xã hội, stress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Yếu tố bảo vệ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Lòng tự trọng, hỗ trợ xã hội, hoạt động thể chất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Giới tính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Nữ tăng nhanh hơn nam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Khuyến nghị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Ưu tiên dịch vụ SKTT cho nữ VTN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color w:val="FF0000"/>
          <w:sz w:val="24"/>
        </w:rPr>
        <w:t>Thiết kế cắt ngang lặp lại — tốt hơn đơn cắt ngang. Hạn chế: chỉ Ireland, tự báo cáo.</w:t>
      </w:r>
    </w:p>
    <w:p>
      <w:r>
        <w:rPr>
          <w:rFonts w:ascii="Times New Roman" w:hAnsi="Times New Roman"/>
          <w:b/>
          <w:sz w:val="24"/>
        </w:rPr>
        <w:t>Đánh giá: ⭐⭐⭐⭐ Cắt ngang lặp lại, xu hướng 7 năm, yếu tố giải thích.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