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70C0"/>
          <w:sz w:val="24"/>
        </w:rPr>
        <w:t>Tóm tắt: Sử dụng phương tiện màn hình và sức khỏe tâm thần trẻ em/VTN: Phân tích thứ cấp ...</w:t>
      </w:r>
    </w:p>
    <w:p>
      <w:r>
        <w:rPr>
          <w:rFonts w:ascii="Times New Roman" w:hAnsi="Times New Roman"/>
          <w:b/>
          <w:color w:val="FF0000"/>
          <w:sz w:val="24"/>
        </w:rPr>
        <w:t>Tên công trình</w:t>
      </w:r>
    </w:p>
    <w:p>
      <w:r>
        <w:rPr>
          <w:rFonts w:ascii="Times New Roman" w:hAnsi="Times New Roman"/>
          <w:color w:val="0070C0"/>
          <w:sz w:val="24"/>
        </w:rPr>
        <w:t>Sử dụng phương tiện màn hình và sức khỏe tâm thần trẻ em/VTN: Phân tích thứ cấp RCT. JAMA Network Open, 2024. Schmidt-Persson J et al. Denmark. 12 trang.</w:t>
      </w:r>
    </w:p>
    <w:p>
      <w:r>
        <w:rPr>
          <w:rFonts w:ascii="Times New Roman" w:hAnsi="Times New Roman"/>
          <w:b/>
          <w:color w:val="FF0000"/>
          <w:sz w:val="24"/>
        </w:rPr>
        <w:t>Kết quả chính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Chỉ số</w:t>
            </w:r>
          </w:p>
        </w:tc>
        <w:tc>
          <w:tcPr>
            <w:tcW w:type="dxa" w:w="4702"/>
            <w:tcW w:w="4536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Phát hiện</w:t>
            </w:r>
          </w:p>
        </w:tc>
      </w:tr>
      <w:tr>
        <w:tc>
          <w:tcPr>
            <w:tcW w:type="dxa" w:w="4702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Thiết kế</w:t>
            </w:r>
          </w:p>
        </w:tc>
        <w:tc>
          <w:tcPr>
            <w:tcW w:type="dxa" w:w="4702"/>
            <w:tcW w:w="4536" w:type="dxa"/>
          </w:tcPr>
          <w:p>
            <w:r>
              <w:rPr>
                <w:rFonts w:ascii="Times New Roman" w:hAnsi="Times New Roman"/>
                <w:sz w:val="20"/>
              </w:rPr>
              <w:t>Phân tích thứ cấp RCT — bằng chứng mạnh hơn quan sát</w:t>
            </w:r>
          </w:p>
        </w:tc>
      </w:tr>
      <w:tr>
        <w:tc>
          <w:tcPr>
            <w:tcW w:type="dxa" w:w="4702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Screen time</w:t>
            </w:r>
          </w:p>
        </w:tc>
        <w:tc>
          <w:tcPr>
            <w:tcW w:type="dxa" w:w="4702"/>
            <w:tcW w:w="4536" w:type="dxa"/>
          </w:tcPr>
          <w:p>
            <w:r>
              <w:rPr>
                <w:rFonts w:ascii="Times New Roman" w:hAnsi="Times New Roman"/>
                <w:sz w:val="20"/>
              </w:rPr>
              <w:t>Liên quan với triệu chứng SKTT ở trẻ em/VTN</w:t>
            </w:r>
          </w:p>
        </w:tc>
      </w:tr>
      <w:tr>
        <w:tc>
          <w:tcPr>
            <w:tcW w:type="dxa" w:w="4702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Cơ chế</w:t>
            </w:r>
          </w:p>
        </w:tc>
        <w:tc>
          <w:tcPr>
            <w:tcW w:type="dxa" w:w="4702"/>
            <w:tcW w:w="4536" w:type="dxa"/>
          </w:tcPr>
          <w:p>
            <w:r>
              <w:rPr>
                <w:rFonts w:ascii="Times New Roman" w:hAnsi="Times New Roman"/>
                <w:sz w:val="20"/>
              </w:rPr>
              <w:t>Giảm thời gian màn hình cải thiện SKTT</w:t>
            </w:r>
          </w:p>
        </w:tc>
      </w:tr>
      <w:tr>
        <w:tc>
          <w:tcPr>
            <w:tcW w:type="dxa" w:w="4702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So sánh</w:t>
            </w:r>
          </w:p>
        </w:tc>
        <w:tc>
          <w:tcPr>
            <w:tcW w:type="dxa" w:w="4702"/>
            <w:tcW w:w="4536" w:type="dxa"/>
          </w:tcPr>
          <w:p>
            <w:r>
              <w:rPr>
                <w:rFonts w:ascii="Times New Roman" w:hAnsi="Times New Roman"/>
                <w:sz w:val="20"/>
              </w:rPr>
              <w:t>JAMA — tạp chí hàng đầu thế giới (IF ≈ 13,0)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FF0000"/>
        </w:rPr>
        <w:t>Phản biện</w:t>
      </w:r>
    </w:p>
    <w:p>
      <w:r>
        <w:rPr>
          <w:rFonts w:ascii="Times New Roman" w:hAnsi="Times New Roman"/>
          <w:color w:val="FF0000"/>
          <w:sz w:val="24"/>
        </w:rPr>
        <w:t>JAMA Q1 IF=13, RCT — bằng chứng nhân quả mạnh. Hạn chế: phân tích thứ cấp, chỉ Đan Mạch.</w:t>
      </w:r>
    </w:p>
    <w:p>
      <w:r>
        <w:rPr>
          <w:rFonts w:ascii="Times New Roman" w:hAnsi="Times New Roman"/>
          <w:b/>
          <w:sz w:val="24"/>
        </w:rPr>
        <w:t>Đánh giá: ⭐⭐⭐⭐⭐ JAMA Q1 IF=13, bằng chứng RCT.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