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val="0"/>
          <w:i w:val="0"/>
          <w:sz w:val="20"/>
        </w:rPr>
        <w:t>Link: https://commonslibrary.parliament.uk/research-briefings/sn06988/</w:t>
      </w:r>
    </w:p>
    <w:p>
      <w:pPr>
        <w:pStyle w:val="Heading1"/>
      </w:pPr>
      <w:r>
        <w:rPr>
          <w:rFonts w:ascii="Times New Roman" w:hAnsi="Times New Roman"/>
          <w:color w:val="000000"/>
        </w:rPr>
        <w:t>Thống kê sức khỏe tâm thần: Tỷ lệ, dịch vụ và tài trợ tại Anh</w:t>
      </w:r>
    </w:p>
    <w:p>
      <w:r>
        <w:rPr>
          <w:rFonts w:ascii="Times New Roman" w:hAnsi="Times New Roman"/>
          <w:i/>
          <w:sz w:val="26"/>
        </w:rPr>
        <w:t>Mental Health Statistics: Prevalence, Services and Funding in England</w:t>
      </w:r>
    </w:p>
    <w:p>
      <w:pPr>
        <w:pStyle w:val="Heading2"/>
      </w:pPr>
      <w:r>
        <w:rPr>
          <w:rFonts w:ascii="Times New Roman" w:hAnsi="Times New Roman"/>
          <w:color w:val="000000"/>
        </w:rPr>
        <w:t>THÔNG TIN THƯ MỤC</w:t>
      </w:r>
    </w:p>
    <w:tbl>
      <w:tblPr>
        <w:tblStyle w:val="TableGrid"/>
        <w:tblW w:type="auto" w:w="0"/>
        <w:jc w:val="center"/>
        <w:tblLook w:firstColumn="1" w:firstRow="1" w:lastColumn="0" w:lastRow="0" w:noHBand="0" w:noVBand="1" w:val="04A0"/>
      </w:tblPr>
      <w:tblGrid>
        <w:gridCol w:w="4702"/>
        <w:gridCol w:w="4702"/>
      </w:tblGrid>
      <w:tr>
        <w:tc>
          <w:tcPr>
            <w:tcW w:type="dxa" w:w="4702"/>
            <w:tcW w:w="1984" w:type="dxa"/>
            <w:shd w:fill="D9E2F3" w:val="clear"/>
          </w:tcPr>
          <w:p>
            <w:r>
              <w:rPr>
                <w:rFonts w:ascii="Times New Roman" w:hAnsi="Times New Roman"/>
                <w:b/>
                <w:sz w:val="20"/>
              </w:rPr>
              <w:t>Tiêu đề gốc</w:t>
            </w:r>
          </w:p>
        </w:tc>
        <w:tc>
          <w:tcPr>
            <w:tcW w:type="dxa" w:w="4702"/>
            <w:tcW w:w="7087" w:type="dxa"/>
          </w:tcPr>
          <w:p>
            <w:r>
              <w:rPr>
                <w:rFonts w:ascii="Times New Roman" w:hAnsi="Times New Roman"/>
                <w:sz w:val="20"/>
              </w:rPr>
              <w:t>Mental Health Statistics: Prevalence, Services and Funding in England</w:t>
            </w:r>
          </w:p>
        </w:tc>
      </w:tr>
      <w:tr>
        <w:tc>
          <w:tcPr>
            <w:tcW w:type="dxa" w:w="4702"/>
            <w:tcW w:w="1984" w:type="dxa"/>
            <w:shd w:fill="D9E2F3" w:val="clear"/>
          </w:tcPr>
          <w:p>
            <w:r>
              <w:rPr>
                <w:rFonts w:ascii="Times New Roman" w:hAnsi="Times New Roman"/>
                <w:b/>
                <w:sz w:val="20"/>
              </w:rPr>
              <w:t>Tác giả</w:t>
            </w:r>
          </w:p>
        </w:tc>
        <w:tc>
          <w:tcPr>
            <w:tcW w:type="dxa" w:w="4702"/>
            <w:tcW w:w="7087" w:type="dxa"/>
          </w:tcPr>
          <w:p>
            <w:r>
              <w:rPr>
                <w:rFonts w:ascii="Times New Roman" w:hAnsi="Times New Roman"/>
                <w:sz w:val="20"/>
              </w:rPr>
              <w:t>Carl Baker, Esme Kirk-Wade</w:t>
            </w:r>
          </w:p>
        </w:tc>
      </w:tr>
      <w:tr>
        <w:tc>
          <w:tcPr>
            <w:tcW w:type="dxa" w:w="4702"/>
            <w:tcW w:w="1984" w:type="dxa"/>
            <w:shd w:fill="D9E2F3" w:val="clear"/>
          </w:tcPr>
          <w:p>
            <w:r>
              <w:rPr>
                <w:rFonts w:ascii="Times New Roman" w:hAnsi="Times New Roman"/>
                <w:b/>
                <w:sz w:val="20"/>
              </w:rPr>
              <w:t>Cơ quan</w:t>
            </w:r>
          </w:p>
        </w:tc>
        <w:tc>
          <w:tcPr>
            <w:tcW w:type="dxa" w:w="4702"/>
            <w:tcW w:w="7087" w:type="dxa"/>
          </w:tcPr>
          <w:p>
            <w:r>
              <w:rPr>
                <w:rFonts w:ascii="Times New Roman" w:hAnsi="Times New Roman"/>
                <w:sz w:val="20"/>
              </w:rPr>
              <w:t>UK Parliament — House of Commons Library</w:t>
            </w:r>
          </w:p>
        </w:tc>
      </w:tr>
      <w:tr>
        <w:tc>
          <w:tcPr>
            <w:tcW w:type="dxa" w:w="4702"/>
            <w:tcW w:w="1984" w:type="dxa"/>
            <w:shd w:fill="D9E2F3" w:val="clear"/>
          </w:tcPr>
          <w:p>
            <w:r>
              <w:rPr>
                <w:rFonts w:ascii="Times New Roman" w:hAnsi="Times New Roman"/>
                <w:b/>
                <w:sz w:val="20"/>
              </w:rPr>
              <w:t>Xuất bản</w:t>
            </w:r>
          </w:p>
        </w:tc>
        <w:tc>
          <w:tcPr>
            <w:tcW w:type="dxa" w:w="4702"/>
            <w:tcW w:w="7087" w:type="dxa"/>
          </w:tcPr>
          <w:p>
            <w:r>
              <w:rPr>
                <w:rFonts w:ascii="Times New Roman" w:hAnsi="Times New Roman"/>
                <w:sz w:val="20"/>
              </w:rPr>
              <w:t>1 March 2024, Briefing Paper SN06988, 46 trang</w:t>
            </w:r>
          </w:p>
        </w:tc>
      </w:tr>
      <w:tr>
        <w:tc>
          <w:tcPr>
            <w:tcW w:type="dxa" w:w="4702"/>
            <w:tcW w:w="1984" w:type="dxa"/>
            <w:shd w:fill="D9E2F3" w:val="clear"/>
          </w:tcPr>
          <w:p>
            <w:r>
              <w:rPr>
                <w:rFonts w:ascii="Times New Roman" w:hAnsi="Times New Roman"/>
                <w:b/>
                <w:sz w:val="20"/>
              </w:rPr>
              <w:t>Loại tài liệu</w:t>
            </w:r>
          </w:p>
        </w:tc>
        <w:tc>
          <w:tcPr>
            <w:tcW w:type="dxa" w:w="4702"/>
            <w:tcW w:w="7087" w:type="dxa"/>
          </w:tcPr>
          <w:p>
            <w:r>
              <w:rPr>
                <w:rFonts w:ascii="Times New Roman" w:hAnsi="Times New Roman"/>
                <w:sz w:val="20"/>
              </w:rPr>
              <w:t>Báo cáo thống kê chính sách (briefing paper)</w:t>
            </w:r>
          </w:p>
        </w:tc>
      </w:tr>
      <w:tr>
        <w:tc>
          <w:tcPr>
            <w:tcW w:type="dxa" w:w="4702"/>
            <w:tcW w:w="1984" w:type="dxa"/>
            <w:shd w:fill="D9E2F3" w:val="clear"/>
          </w:tcPr>
          <w:p>
            <w:r>
              <w:rPr>
                <w:rFonts w:ascii="Times New Roman" w:hAnsi="Times New Roman"/>
                <w:b/>
                <w:sz w:val="20"/>
              </w:rPr>
              <w:t>Phạm vi</w:t>
            </w:r>
          </w:p>
        </w:tc>
        <w:tc>
          <w:tcPr>
            <w:tcW w:type="dxa" w:w="4702"/>
            <w:tcW w:w="7087" w:type="dxa"/>
          </w:tcPr>
          <w:p>
            <w:r>
              <w:rPr>
                <w:rFonts w:ascii="Times New Roman" w:hAnsi="Times New Roman"/>
                <w:sz w:val="20"/>
              </w:rPr>
              <w:t>England (Anh quốc), dữ liệu NHS</w:t>
            </w:r>
          </w:p>
        </w:tc>
      </w:tr>
    </w:tbl>
    <w:p>
      <w:r>
        <w:rPr>
          <w:rFonts w:ascii="Times New Roman" w:hAnsi="Times New Roman"/>
          <w:i/>
          <w:color w:val="808080"/>
          <w:sz w:val="18"/>
        </w:rPr>
        <w:t>--- Trang 1–46, UK Parliament Briefing, SN06988, March 2024 ---</w:t>
      </w:r>
    </w:p>
    <w:p>
      <w:pPr>
        <w:pStyle w:val="Heading2"/>
      </w:pPr>
      <w:r>
        <w:rPr>
          <w:rFonts w:ascii="Times New Roman" w:hAnsi="Times New Roman"/>
          <w:color w:val="000000"/>
        </w:rPr>
        <w:t>TÓM TẮT</w:t>
      </w:r>
    </w:p>
    <w:p>
      <w:r>
        <w:rPr>
          <w:rFonts w:ascii="Times New Roman" w:hAnsi="Times New Roman"/>
          <w:color w:val="CC0000"/>
          <w:sz w:val="24"/>
        </w:rPr>
        <w:t>Báo cáo tổng hợp toàn diện thống kê SKTT tại Anh: tỷ lệ rối loạn, dịch vụ NHS, chi tiêu, can thiệp. Dữ liệu chính: Ước tính 1/6 người trưởng thành Anh đã trải qua rối loạn tâm thần phổ biến (trầm cảm, lo âu) trong tuần qua. Ở trẻ em: tỷ lệ rối loạn tâm thần có thể xác định ở trẻ 8–16 tuổi tăng từ 12% (2017) lên 20% (2023). Ở nhóm 17–19: tăng từ 10% lên 23%. Chi tiêu SKTT NHS: £16 tỷ/năm (14% ngân sách NHS địa phương).</w:t>
      </w:r>
    </w:p>
    <w:p>
      <w:pPr>
        <w:pStyle w:val="Heading2"/>
      </w:pPr>
      <w:r>
        <w:rPr>
          <w:rFonts w:ascii="Times New Roman" w:hAnsi="Times New Roman"/>
          <w:color w:val="000000"/>
        </w:rPr>
        <w:t>TÓM TẮT ĐÁNH GIÁ NHANH</w:t>
      </w:r>
    </w:p>
    <w:p>
      <w:r>
        <w:rPr>
          <w:rFonts w:ascii="Times New Roman" w:hAnsi="Times New Roman"/>
          <w:b w:val="0"/>
          <w:i w:val="0"/>
          <w:sz w:val="24"/>
        </w:rPr>
        <w:t>• UK Parliament — nguồn dữ liệu chính sách uy tín nhất.</w:t>
      </w:r>
    </w:p>
    <w:p>
      <w:r>
        <w:rPr>
          <w:rFonts w:ascii="Times New Roman" w:hAnsi="Times New Roman"/>
          <w:b w:val="0"/>
          <w:i w:val="0"/>
          <w:sz w:val="24"/>
        </w:rPr>
        <w:t>• Tỷ lệ RLTT trẻ 8–16: 12% (2017) → 20% (2023) — tăng gấp rưỡi.</w:t>
      </w:r>
    </w:p>
    <w:p>
      <w:r>
        <w:rPr>
          <w:rFonts w:ascii="Times New Roman" w:hAnsi="Times New Roman"/>
          <w:b w:val="0"/>
          <w:i w:val="0"/>
          <w:sz w:val="24"/>
        </w:rPr>
        <w:t>• Nhóm 17–19: 10% → 23% — tăng hơn gấp đôi, mạnh nhất.</w:t>
      </w:r>
    </w:p>
    <w:p>
      <w:r>
        <w:rPr>
          <w:rFonts w:ascii="Times New Roman" w:hAnsi="Times New Roman"/>
          <w:b w:val="0"/>
          <w:i w:val="0"/>
          <w:sz w:val="24"/>
        </w:rPr>
        <w:t>• Nữ 17–19: 32% có RLTT có thể — cao gần GẤP ĐÔI nam (15%).</w:t>
      </w:r>
    </w:p>
    <w:p>
      <w:r>
        <w:rPr>
          <w:rFonts w:ascii="Times New Roman" w:hAnsi="Times New Roman"/>
          <w:b w:val="0"/>
          <w:i w:val="0"/>
          <w:sz w:val="24"/>
        </w:rPr>
        <w:t>• Dịch vụ: 3,58 triệu người tiếp xúc NHS SKTT/năm; 1,76 triệu giới thiệu TTAD.</w:t>
      </w:r>
    </w:p>
    <w:p>
      <w:r>
        <w:rPr>
          <w:rFonts w:ascii="Times New Roman" w:hAnsi="Times New Roman"/>
          <w:b w:val="0"/>
          <w:i w:val="0"/>
          <w:sz w:val="24"/>
        </w:rPr>
        <w:t>• Chi tiêu: £16 tỷ/năm — 14% ngân sách NHS. VN: chưa có số liệu tương đương.</w:t>
      </w:r>
    </w:p>
    <w:p>
      <w:r>
        <w:rPr>
          <w:rFonts w:ascii="Times New Roman" w:hAnsi="Times New Roman"/>
          <w:b w:val="0"/>
          <w:i w:val="0"/>
          <w:sz w:val="24"/>
        </w:rPr>
        <w:t>• TTAD (Talking Therapies): 66,5% cải thiện, 49,9% phục hồi — tiêu chuẩn 50%.</w:t>
      </w:r>
    </w:p>
    <w:p>
      <w:r>
        <w:rPr>
          <w:rFonts w:ascii="Times New Roman" w:hAnsi="Times New Roman"/>
          <w:b/>
          <w:i w:val="0"/>
          <w:sz w:val="24"/>
        </w:rPr>
        <w:t>Hạn chế:</w:t>
      </w:r>
    </w:p>
    <w:p>
      <w:r>
        <w:rPr>
          <w:rFonts w:ascii="Times New Roman" w:hAnsi="Times New Roman"/>
          <w:b w:val="0"/>
          <w:i w:val="0"/>
          <w:sz w:val="24"/>
        </w:rPr>
        <w:t>• Chỉ England — không đại diện Scotland, Wales, Northern Ireland.</w:t>
      </w:r>
    </w:p>
    <w:p>
      <w:r>
        <w:rPr>
          <w:rFonts w:ascii="Times New Roman" w:hAnsi="Times New Roman"/>
          <w:b w:val="0"/>
          <w:i w:val="0"/>
          <w:sz w:val="24"/>
        </w:rPr>
        <w:t>• Briefing paper — tổng hợp, không có peer review.</w:t>
      </w:r>
    </w:p>
    <w:p>
      <w:r>
        <w:rPr>
          <w:rFonts w:ascii="Times New Roman" w:hAnsi="Times New Roman"/>
          <w:b w:val="0"/>
          <w:i w:val="0"/>
          <w:sz w:val="24"/>
        </w:rPr>
        <w:t>• NHS phổ quát miễn phí — bối cảnh khác VN hoàn toàn.</w:t>
      </w:r>
    </w:p>
    <w:p>
      <w:r>
        <w:rPr>
          <w:rFonts w:ascii="Times New Roman" w:hAnsi="Times New Roman"/>
          <w:b w:val="0"/>
          <w:i w:val="0"/>
          <w:sz w:val="24"/>
        </w:rPr>
        <w:t>• Dữ liệu 2023 là ước tính — "probable" disorder, không phải chẩn đoán chắc chắn.</w:t>
      </w:r>
    </w:p>
    <w:p>
      <w:r>
        <w:rPr>
          <w:rFonts w:ascii="Times New Roman" w:hAnsi="Times New Roman"/>
          <w:i/>
          <w:color w:val="808080"/>
          <w:sz w:val="18"/>
        </w:rPr>
        <w:t>--- Trang 5–13, UK Parliament Briefing, SN06988 ---</w:t>
      </w:r>
    </w:p>
    <w:p>
      <w:pPr>
        <w:pStyle w:val="Heading2"/>
      </w:pPr>
      <w:r>
        <w:rPr>
          <w:rFonts w:ascii="Times New Roman" w:hAnsi="Times New Roman"/>
          <w:color w:val="000000"/>
        </w:rPr>
        <w:t>1. TỶ LỆ RỐI LOẠN TÂM THẦN Ở NGƯỜI LỚN</w:t>
      </w:r>
    </w:p>
    <w:p>
      <w:r>
        <w:rPr>
          <w:rFonts w:ascii="Times New Roman" w:hAnsi="Times New Roman"/>
          <w:b w:val="0"/>
          <w:i w:val="0"/>
          <w:sz w:val="24"/>
        </w:rPr>
        <w:t>Khảo sát SKTT Người lớn Anh (Adult Psychiatric Morbidity Survey) thực hiện năm 1993, 2000, 2007, 2014. Phát hiện chính: 1/6 người trưởng thành (17%) trải qua rối loạn tâm thần phổ biến (CMD — Common Mental Disorder) như trầm cảm hoặc lo âu trong tuần qua. Tỷ lệ tương đối ổn định qua các năm khảo sát.</w:t>
      </w:r>
    </w:p>
    <w:p>
      <w:r>
        <w:rPr>
          <w:rFonts w:ascii="Times New Roman" w:hAnsi="Times New Roman"/>
          <w:b w:val="0"/>
          <w:i w:val="0"/>
          <w:sz w:val="24"/>
        </w:rPr>
        <w:t>Rối loạn lo âu tổng quát (GAD) là CMD phổ biến nhất: 6,0% (2014). Tiếp theo: trầm cảm 3,3%, phobia 2,4%, OCD 1,3%, rối loạn hoảng sợ 0,6%.</w:t>
      </w:r>
    </w:p>
    <w:p>
      <w:r>
        <w:rPr>
          <w:rFonts w:ascii="Times New Roman" w:hAnsi="Times New Roman"/>
          <w:b w:val="0"/>
          <w:i w:val="0"/>
          <w:sz w:val="24"/>
        </w:rPr>
        <w:t>Khác biệt giới: Nữ có tỷ lệ CMD cao hơn nam (1/5 nữ vs 1/8 nam). Khoảng cách giới mở rộng từ 1993 đến 2014.</w:t>
      </w:r>
    </w:p>
    <w:p>
      <w:r>
        <w:rPr>
          <w:rFonts w:ascii="Times New Roman" w:hAnsi="Times New Roman"/>
          <w:i/>
          <w:color w:val="808080"/>
          <w:sz w:val="18"/>
        </w:rPr>
        <w:t>--- Trang 14–16, UK Parliament Briefing, SN06988 ---</w:t>
      </w:r>
    </w:p>
    <w:p>
      <w:pPr>
        <w:pStyle w:val="Heading2"/>
      </w:pPr>
      <w:r>
        <w:rPr>
          <w:rFonts w:ascii="Times New Roman" w:hAnsi="Times New Roman"/>
          <w:color w:val="000000"/>
        </w:rPr>
        <w:t>2. SỨC KHỎE TÂM THẦN TRẺ EM VÀ THANH THIẾU NIÊN</w:t>
      </w:r>
    </w:p>
    <w:p>
      <w:r>
        <w:rPr>
          <w:rFonts w:ascii="Times New Roman" w:hAnsi="Times New Roman"/>
          <w:b w:val="0"/>
          <w:i w:val="0"/>
          <w:sz w:val="24"/>
        </w:rPr>
        <w:t>Khảo sát SKTT Trẻ em và Thanh niên NHS (NHS Digital surveys) thực hiện 2017, 2020, 2021, 2022, 2023. Đây là nguồn dữ liệu chính cho SKTT VTN tại Anh.</w:t>
      </w:r>
    </w:p>
    <w:p>
      <w:pPr>
        <w:pStyle w:val="Heading3"/>
      </w:pPr>
      <w:r>
        <w:rPr>
          <w:rFonts w:ascii="Times New Roman" w:hAnsi="Times New Roman"/>
          <w:color w:val="000000"/>
        </w:rPr>
        <w:t>Bảng 1. Tỷ lệ rối loạn tâm thần "có thể" ở trẻ em/VTN Anh</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tcW w:w="1417" w:type="dxa"/>
            <w:shd w:fill="D9E2F3" w:val="clear"/>
          </w:tcPr>
          <w:p>
            <w:pPr>
              <w:jc w:val="center"/>
            </w:pPr>
            <w:r>
              <w:rPr>
                <w:rFonts w:ascii="Times New Roman" w:hAnsi="Times New Roman"/>
                <w:b/>
                <w:sz w:val="20"/>
              </w:rPr>
              <w:t>Nhóm tuổi</w:t>
            </w:r>
          </w:p>
        </w:tc>
        <w:tc>
          <w:tcPr>
            <w:tcW w:type="dxa" w:w="1344"/>
            <w:tcW w:w="850" w:type="dxa"/>
            <w:shd w:fill="D9E2F3" w:val="clear"/>
          </w:tcPr>
          <w:p>
            <w:pPr>
              <w:jc w:val="center"/>
            </w:pPr>
            <w:r>
              <w:rPr>
                <w:rFonts w:ascii="Times New Roman" w:hAnsi="Times New Roman"/>
                <w:b/>
                <w:sz w:val="20"/>
              </w:rPr>
              <w:t>2017</w:t>
            </w:r>
          </w:p>
        </w:tc>
        <w:tc>
          <w:tcPr>
            <w:tcW w:type="dxa" w:w="1344"/>
            <w:tcW w:w="850" w:type="dxa"/>
            <w:shd w:fill="D9E2F3" w:val="clear"/>
          </w:tcPr>
          <w:p>
            <w:pPr>
              <w:jc w:val="center"/>
            </w:pPr>
            <w:r>
              <w:rPr>
                <w:rFonts w:ascii="Times New Roman" w:hAnsi="Times New Roman"/>
                <w:b/>
                <w:sz w:val="20"/>
              </w:rPr>
              <w:t>2020</w:t>
            </w:r>
          </w:p>
        </w:tc>
        <w:tc>
          <w:tcPr>
            <w:tcW w:type="dxa" w:w="1344"/>
            <w:tcW w:w="850" w:type="dxa"/>
            <w:shd w:fill="D9E2F3" w:val="clear"/>
          </w:tcPr>
          <w:p>
            <w:pPr>
              <w:jc w:val="center"/>
            </w:pPr>
            <w:r>
              <w:rPr>
                <w:rFonts w:ascii="Times New Roman" w:hAnsi="Times New Roman"/>
                <w:b/>
                <w:sz w:val="20"/>
              </w:rPr>
              <w:t>2021</w:t>
            </w:r>
          </w:p>
        </w:tc>
        <w:tc>
          <w:tcPr>
            <w:tcW w:type="dxa" w:w="1344"/>
            <w:tcW w:w="850" w:type="dxa"/>
            <w:shd w:fill="D9E2F3" w:val="clear"/>
          </w:tcPr>
          <w:p>
            <w:pPr>
              <w:jc w:val="center"/>
            </w:pPr>
            <w:r>
              <w:rPr>
                <w:rFonts w:ascii="Times New Roman" w:hAnsi="Times New Roman"/>
                <w:b/>
                <w:sz w:val="20"/>
              </w:rPr>
              <w:t>2022</w:t>
            </w:r>
          </w:p>
        </w:tc>
        <w:tc>
          <w:tcPr>
            <w:tcW w:type="dxa" w:w="1344"/>
            <w:tcW w:w="850" w:type="dxa"/>
            <w:shd w:fill="D9E2F3" w:val="clear"/>
          </w:tcPr>
          <w:p>
            <w:pPr>
              <w:jc w:val="center"/>
            </w:pPr>
            <w:r>
              <w:rPr>
                <w:rFonts w:ascii="Times New Roman" w:hAnsi="Times New Roman"/>
                <w:b/>
                <w:sz w:val="20"/>
              </w:rPr>
              <w:t>2023</w:t>
            </w:r>
          </w:p>
        </w:tc>
        <w:tc>
          <w:tcPr>
            <w:tcW w:type="dxa" w:w="1344"/>
            <w:tcW w:w="1984" w:type="dxa"/>
            <w:shd w:fill="D9E2F3" w:val="clear"/>
          </w:tcPr>
          <w:p>
            <w:pPr>
              <w:jc w:val="center"/>
            </w:pPr>
            <w:r>
              <w:rPr>
                <w:rFonts w:ascii="Times New Roman" w:hAnsi="Times New Roman"/>
                <w:b/>
                <w:sz w:val="20"/>
              </w:rPr>
              <w:t>Xu hướng</w:t>
            </w:r>
          </w:p>
        </w:tc>
      </w:tr>
      <w:tr>
        <w:tc>
          <w:tcPr>
            <w:tcW w:type="dxa" w:w="1344"/>
            <w:tcW w:w="1417" w:type="dxa"/>
          </w:tcPr>
          <w:p>
            <w:r>
              <w:rPr>
                <w:rFonts w:ascii="Times New Roman" w:hAnsi="Times New Roman"/>
                <w:sz w:val="20"/>
              </w:rPr>
              <w:t>8–10 tuổi</w:t>
            </w:r>
          </w:p>
        </w:tc>
        <w:tc>
          <w:tcPr>
            <w:tcW w:type="dxa" w:w="1344"/>
            <w:tcW w:w="850" w:type="dxa"/>
          </w:tcPr>
          <w:p>
            <w:r>
              <w:rPr>
                <w:rFonts w:ascii="Times New Roman" w:hAnsi="Times New Roman"/>
                <w:sz w:val="20"/>
              </w:rPr>
              <w:t>—</w:t>
            </w:r>
          </w:p>
        </w:tc>
        <w:tc>
          <w:tcPr>
            <w:tcW w:type="dxa" w:w="1344"/>
            <w:tcW w:w="850" w:type="dxa"/>
          </w:tcPr>
          <w:p>
            <w:r>
              <w:rPr>
                <w:rFonts w:ascii="Times New Roman" w:hAnsi="Times New Roman"/>
                <w:sz w:val="20"/>
              </w:rPr>
              <w:t>—</w:t>
            </w:r>
          </w:p>
        </w:tc>
        <w:tc>
          <w:tcPr>
            <w:tcW w:type="dxa" w:w="1344"/>
            <w:tcW w:w="850" w:type="dxa"/>
          </w:tcPr>
          <w:p>
            <w:r>
              <w:rPr>
                <w:rFonts w:ascii="Times New Roman" w:hAnsi="Times New Roman"/>
                <w:sz w:val="20"/>
              </w:rPr>
              <w:t>—</w:t>
            </w:r>
          </w:p>
        </w:tc>
        <w:tc>
          <w:tcPr>
            <w:tcW w:type="dxa" w:w="1344"/>
            <w:tcW w:w="850" w:type="dxa"/>
          </w:tcPr>
          <w:p>
            <w:r>
              <w:rPr>
                <w:rFonts w:ascii="Times New Roman" w:hAnsi="Times New Roman"/>
                <w:sz w:val="20"/>
              </w:rPr>
              <w:t>—</w:t>
            </w:r>
          </w:p>
        </w:tc>
        <w:tc>
          <w:tcPr>
            <w:tcW w:type="dxa" w:w="1344"/>
            <w:tcW w:w="850" w:type="dxa"/>
          </w:tcPr>
          <w:p>
            <w:r>
              <w:rPr>
                <w:rFonts w:ascii="Times New Roman" w:hAnsi="Times New Roman"/>
                <w:sz w:val="20"/>
              </w:rPr>
              <w:t>17%</w:t>
            </w:r>
          </w:p>
        </w:tc>
        <w:tc>
          <w:tcPr>
            <w:tcW w:type="dxa" w:w="1344"/>
            <w:tcW w:w="1984" w:type="dxa"/>
          </w:tcPr>
          <w:p>
            <w:r>
              <w:rPr>
                <w:rFonts w:ascii="Times New Roman" w:hAnsi="Times New Roman"/>
                <w:sz w:val="20"/>
              </w:rPr>
              <w:t>(Không so sánh trực tiếp)</w:t>
            </w:r>
          </w:p>
        </w:tc>
      </w:tr>
      <w:tr>
        <w:tc>
          <w:tcPr>
            <w:tcW w:type="dxa" w:w="1344"/>
            <w:tcW w:w="1417" w:type="dxa"/>
          </w:tcPr>
          <w:p>
            <w:r>
              <w:rPr>
                <w:rFonts w:ascii="Times New Roman" w:hAnsi="Times New Roman"/>
                <w:sz w:val="20"/>
              </w:rPr>
              <w:t>8–16 tuổi</w:t>
            </w:r>
          </w:p>
        </w:tc>
        <w:tc>
          <w:tcPr>
            <w:tcW w:type="dxa" w:w="1344"/>
            <w:tcW w:w="850" w:type="dxa"/>
          </w:tcPr>
          <w:p>
            <w:r>
              <w:rPr>
                <w:rFonts w:ascii="Times New Roman" w:hAnsi="Times New Roman"/>
                <w:sz w:val="20"/>
              </w:rPr>
              <w:t>12%</w:t>
            </w:r>
          </w:p>
        </w:tc>
        <w:tc>
          <w:tcPr>
            <w:tcW w:type="dxa" w:w="1344"/>
            <w:tcW w:w="850" w:type="dxa"/>
          </w:tcPr>
          <w:p>
            <w:r>
              <w:rPr>
                <w:rFonts w:ascii="Times New Roman" w:hAnsi="Times New Roman"/>
                <w:sz w:val="20"/>
              </w:rPr>
              <w:t>—</w:t>
            </w:r>
          </w:p>
        </w:tc>
        <w:tc>
          <w:tcPr>
            <w:tcW w:type="dxa" w:w="1344"/>
            <w:tcW w:w="850" w:type="dxa"/>
          </w:tcPr>
          <w:p>
            <w:r>
              <w:rPr>
                <w:rFonts w:ascii="Times New Roman" w:hAnsi="Times New Roman"/>
                <w:sz w:val="20"/>
              </w:rPr>
              <w:t>—</w:t>
            </w:r>
          </w:p>
        </w:tc>
        <w:tc>
          <w:tcPr>
            <w:tcW w:type="dxa" w:w="1344"/>
            <w:tcW w:w="850" w:type="dxa"/>
          </w:tcPr>
          <w:p>
            <w:r>
              <w:rPr>
                <w:rFonts w:ascii="Times New Roman" w:hAnsi="Times New Roman"/>
                <w:sz w:val="20"/>
              </w:rPr>
              <w:t>—</w:t>
            </w:r>
          </w:p>
        </w:tc>
        <w:tc>
          <w:tcPr>
            <w:tcW w:type="dxa" w:w="1344"/>
            <w:tcW w:w="850" w:type="dxa"/>
          </w:tcPr>
          <w:p>
            <w:r>
              <w:rPr>
                <w:rFonts w:ascii="Times New Roman" w:hAnsi="Times New Roman"/>
                <w:sz w:val="20"/>
              </w:rPr>
              <w:t>20%</w:t>
            </w:r>
          </w:p>
        </w:tc>
        <w:tc>
          <w:tcPr>
            <w:tcW w:type="dxa" w:w="1344"/>
            <w:tcW w:w="1984" w:type="dxa"/>
          </w:tcPr>
          <w:p>
            <w:r>
              <w:rPr>
                <w:rFonts w:ascii="Times New Roman" w:hAnsi="Times New Roman"/>
                <w:sz w:val="20"/>
              </w:rPr>
              <w:t>↑ Tăng gấp rưỡi</w:t>
            </w:r>
          </w:p>
        </w:tc>
      </w:tr>
      <w:tr>
        <w:tc>
          <w:tcPr>
            <w:tcW w:type="dxa" w:w="1344"/>
            <w:tcW w:w="1417" w:type="dxa"/>
          </w:tcPr>
          <w:p>
            <w:r>
              <w:rPr>
                <w:rFonts w:ascii="Times New Roman" w:hAnsi="Times New Roman"/>
                <w:sz w:val="20"/>
              </w:rPr>
              <w:t>11–16 tuổi</w:t>
            </w:r>
          </w:p>
        </w:tc>
        <w:tc>
          <w:tcPr>
            <w:tcW w:type="dxa" w:w="1344"/>
            <w:tcW w:w="850" w:type="dxa"/>
          </w:tcPr>
          <w:p>
            <w:r>
              <w:rPr>
                <w:rFonts w:ascii="Times New Roman" w:hAnsi="Times New Roman"/>
                <w:sz w:val="20"/>
              </w:rPr>
              <w:t>—</w:t>
            </w:r>
          </w:p>
        </w:tc>
        <w:tc>
          <w:tcPr>
            <w:tcW w:type="dxa" w:w="1344"/>
            <w:tcW w:w="850" w:type="dxa"/>
          </w:tcPr>
          <w:p>
            <w:r>
              <w:rPr>
                <w:rFonts w:ascii="Times New Roman" w:hAnsi="Times New Roman"/>
                <w:sz w:val="20"/>
              </w:rPr>
              <w:t>—</w:t>
            </w:r>
          </w:p>
        </w:tc>
        <w:tc>
          <w:tcPr>
            <w:tcW w:type="dxa" w:w="1344"/>
            <w:tcW w:w="850" w:type="dxa"/>
          </w:tcPr>
          <w:p>
            <w:r>
              <w:rPr>
                <w:rFonts w:ascii="Times New Roman" w:hAnsi="Times New Roman"/>
                <w:sz w:val="20"/>
              </w:rPr>
              <w:t>—</w:t>
            </w:r>
          </w:p>
        </w:tc>
        <w:tc>
          <w:tcPr>
            <w:tcW w:type="dxa" w:w="1344"/>
            <w:tcW w:w="850" w:type="dxa"/>
          </w:tcPr>
          <w:p>
            <w:r>
              <w:rPr>
                <w:rFonts w:ascii="Times New Roman" w:hAnsi="Times New Roman"/>
                <w:sz w:val="20"/>
              </w:rPr>
              <w:t>—</w:t>
            </w:r>
          </w:p>
        </w:tc>
        <w:tc>
          <w:tcPr>
            <w:tcW w:type="dxa" w:w="1344"/>
            <w:tcW w:w="850" w:type="dxa"/>
          </w:tcPr>
          <w:p>
            <w:r>
              <w:rPr>
                <w:rFonts w:ascii="Times New Roman" w:hAnsi="Times New Roman"/>
                <w:sz w:val="20"/>
              </w:rPr>
              <w:t>21%</w:t>
            </w:r>
          </w:p>
        </w:tc>
        <w:tc>
          <w:tcPr>
            <w:tcW w:type="dxa" w:w="1344"/>
            <w:tcW w:w="1984" w:type="dxa"/>
          </w:tcPr>
          <w:p>
            <w:r>
              <w:rPr>
                <w:rFonts w:ascii="Times New Roman" w:hAnsi="Times New Roman"/>
                <w:sz w:val="20"/>
              </w:rPr>
              <w:t>↑ Cao hơn 2017 đáng kể</w:t>
            </w:r>
          </w:p>
        </w:tc>
      </w:tr>
      <w:tr>
        <w:tc>
          <w:tcPr>
            <w:tcW w:type="dxa" w:w="1344"/>
            <w:tcW w:w="1417" w:type="dxa"/>
          </w:tcPr>
          <w:p>
            <w:r>
              <w:rPr>
                <w:rFonts w:ascii="Times New Roman" w:hAnsi="Times New Roman"/>
                <w:sz w:val="20"/>
              </w:rPr>
              <w:t>17–19 tuổi</w:t>
            </w:r>
          </w:p>
        </w:tc>
        <w:tc>
          <w:tcPr>
            <w:tcW w:type="dxa" w:w="1344"/>
            <w:tcW w:w="850" w:type="dxa"/>
          </w:tcPr>
          <w:p>
            <w:r>
              <w:rPr>
                <w:rFonts w:ascii="Times New Roman" w:hAnsi="Times New Roman"/>
                <w:sz w:val="20"/>
              </w:rPr>
              <w:t>10%</w:t>
            </w:r>
          </w:p>
        </w:tc>
        <w:tc>
          <w:tcPr>
            <w:tcW w:type="dxa" w:w="1344"/>
            <w:tcW w:w="850" w:type="dxa"/>
          </w:tcPr>
          <w:p>
            <w:r>
              <w:rPr>
                <w:rFonts w:ascii="Times New Roman" w:hAnsi="Times New Roman"/>
                <w:sz w:val="20"/>
              </w:rPr>
              <w:t>18%</w:t>
            </w:r>
          </w:p>
        </w:tc>
        <w:tc>
          <w:tcPr>
            <w:tcW w:type="dxa" w:w="1344"/>
            <w:tcW w:w="850" w:type="dxa"/>
          </w:tcPr>
          <w:p>
            <w:r>
              <w:rPr>
                <w:rFonts w:ascii="Times New Roman" w:hAnsi="Times New Roman"/>
                <w:sz w:val="20"/>
              </w:rPr>
              <w:t>17%</w:t>
            </w:r>
          </w:p>
        </w:tc>
        <w:tc>
          <w:tcPr>
            <w:tcW w:type="dxa" w:w="1344"/>
            <w:tcW w:w="850" w:type="dxa"/>
          </w:tcPr>
          <w:p>
            <w:r>
              <w:rPr>
                <w:rFonts w:ascii="Times New Roman" w:hAnsi="Times New Roman"/>
                <w:sz w:val="20"/>
              </w:rPr>
              <w:t>26%</w:t>
            </w:r>
          </w:p>
        </w:tc>
        <w:tc>
          <w:tcPr>
            <w:tcW w:type="dxa" w:w="1344"/>
            <w:tcW w:w="850" w:type="dxa"/>
          </w:tcPr>
          <w:p>
            <w:r>
              <w:rPr>
                <w:rFonts w:ascii="Times New Roman" w:hAnsi="Times New Roman"/>
                <w:sz w:val="20"/>
              </w:rPr>
              <w:t>23%</w:t>
            </w:r>
          </w:p>
        </w:tc>
        <w:tc>
          <w:tcPr>
            <w:tcW w:type="dxa" w:w="1344"/>
            <w:tcW w:w="1984" w:type="dxa"/>
          </w:tcPr>
          <w:p>
            <w:r>
              <w:rPr>
                <w:rFonts w:ascii="Times New Roman" w:hAnsi="Times New Roman"/>
                <w:sz w:val="20"/>
              </w:rPr>
              <w:t>↑ TĂNG HƠN GẤP ĐÔI</w:t>
            </w:r>
          </w:p>
        </w:tc>
      </w:tr>
      <w:tr>
        <w:tc>
          <w:tcPr>
            <w:tcW w:type="dxa" w:w="1344"/>
            <w:tcW w:w="1417" w:type="dxa"/>
          </w:tcPr>
          <w:p>
            <w:r>
              <w:rPr>
                <w:rFonts w:ascii="Times New Roman" w:hAnsi="Times New Roman"/>
                <w:sz w:val="20"/>
              </w:rPr>
              <w:t>Nữ 17–19</w:t>
            </w:r>
          </w:p>
        </w:tc>
        <w:tc>
          <w:tcPr>
            <w:tcW w:type="dxa" w:w="1344"/>
            <w:tcW w:w="850" w:type="dxa"/>
          </w:tcPr>
          <w:p>
            <w:r>
              <w:rPr>
                <w:rFonts w:ascii="Times New Roman" w:hAnsi="Times New Roman"/>
                <w:sz w:val="20"/>
              </w:rPr>
              <w:t>—</w:t>
            </w:r>
          </w:p>
        </w:tc>
        <w:tc>
          <w:tcPr>
            <w:tcW w:type="dxa" w:w="1344"/>
            <w:tcW w:w="850" w:type="dxa"/>
          </w:tcPr>
          <w:p>
            <w:r>
              <w:rPr>
                <w:rFonts w:ascii="Times New Roman" w:hAnsi="Times New Roman"/>
                <w:sz w:val="20"/>
              </w:rPr>
              <w:t>—</w:t>
            </w:r>
          </w:p>
        </w:tc>
        <w:tc>
          <w:tcPr>
            <w:tcW w:type="dxa" w:w="1344"/>
            <w:tcW w:w="850" w:type="dxa"/>
          </w:tcPr>
          <w:p>
            <w:r>
              <w:rPr>
                <w:rFonts w:ascii="Times New Roman" w:hAnsi="Times New Roman"/>
                <w:sz w:val="20"/>
              </w:rPr>
              <w:t>—</w:t>
            </w:r>
          </w:p>
        </w:tc>
        <w:tc>
          <w:tcPr>
            <w:tcW w:type="dxa" w:w="1344"/>
            <w:tcW w:w="850" w:type="dxa"/>
          </w:tcPr>
          <w:p>
            <w:r>
              <w:rPr>
                <w:rFonts w:ascii="Times New Roman" w:hAnsi="Times New Roman"/>
                <w:sz w:val="20"/>
              </w:rPr>
              <w:t>—</w:t>
            </w:r>
          </w:p>
        </w:tc>
        <w:tc>
          <w:tcPr>
            <w:tcW w:type="dxa" w:w="1344"/>
            <w:tcW w:w="850" w:type="dxa"/>
          </w:tcPr>
          <w:p>
            <w:r>
              <w:rPr>
                <w:rFonts w:ascii="Times New Roman" w:hAnsi="Times New Roman"/>
                <w:sz w:val="20"/>
              </w:rPr>
              <w:t>32%</w:t>
            </w:r>
          </w:p>
        </w:tc>
        <w:tc>
          <w:tcPr>
            <w:tcW w:type="dxa" w:w="1344"/>
            <w:tcW w:w="1984" w:type="dxa"/>
          </w:tcPr>
          <w:p>
            <w:r>
              <w:rPr>
                <w:rFonts w:ascii="Times New Roman" w:hAnsi="Times New Roman"/>
                <w:sz w:val="20"/>
              </w:rPr>
              <w:t>CAO NHẤT — gấp đôi nam</w:t>
            </w:r>
          </w:p>
        </w:tc>
      </w:tr>
      <w:tr>
        <w:tc>
          <w:tcPr>
            <w:tcW w:type="dxa" w:w="1344"/>
            <w:tcW w:w="1417" w:type="dxa"/>
          </w:tcPr>
          <w:p>
            <w:r>
              <w:rPr>
                <w:rFonts w:ascii="Times New Roman" w:hAnsi="Times New Roman"/>
                <w:sz w:val="20"/>
              </w:rPr>
              <w:t>Nam 17–19</w:t>
            </w:r>
          </w:p>
        </w:tc>
        <w:tc>
          <w:tcPr>
            <w:tcW w:type="dxa" w:w="1344"/>
            <w:tcW w:w="850" w:type="dxa"/>
          </w:tcPr>
          <w:p>
            <w:r>
              <w:rPr>
                <w:rFonts w:ascii="Times New Roman" w:hAnsi="Times New Roman"/>
                <w:sz w:val="20"/>
              </w:rPr>
              <w:t>—</w:t>
            </w:r>
          </w:p>
        </w:tc>
        <w:tc>
          <w:tcPr>
            <w:tcW w:type="dxa" w:w="1344"/>
            <w:tcW w:w="850" w:type="dxa"/>
          </w:tcPr>
          <w:p>
            <w:r>
              <w:rPr>
                <w:rFonts w:ascii="Times New Roman" w:hAnsi="Times New Roman"/>
                <w:sz w:val="20"/>
              </w:rPr>
              <w:t>—</w:t>
            </w:r>
          </w:p>
        </w:tc>
        <w:tc>
          <w:tcPr>
            <w:tcW w:type="dxa" w:w="1344"/>
            <w:tcW w:w="850" w:type="dxa"/>
          </w:tcPr>
          <w:p>
            <w:r>
              <w:rPr>
                <w:rFonts w:ascii="Times New Roman" w:hAnsi="Times New Roman"/>
                <w:sz w:val="20"/>
              </w:rPr>
              <w:t>—</w:t>
            </w:r>
          </w:p>
        </w:tc>
        <w:tc>
          <w:tcPr>
            <w:tcW w:type="dxa" w:w="1344"/>
            <w:tcW w:w="850" w:type="dxa"/>
          </w:tcPr>
          <w:p>
            <w:r>
              <w:rPr>
                <w:rFonts w:ascii="Times New Roman" w:hAnsi="Times New Roman"/>
                <w:sz w:val="20"/>
              </w:rPr>
              <w:t>—</w:t>
            </w:r>
          </w:p>
        </w:tc>
        <w:tc>
          <w:tcPr>
            <w:tcW w:type="dxa" w:w="1344"/>
            <w:tcW w:w="850" w:type="dxa"/>
          </w:tcPr>
          <w:p>
            <w:r>
              <w:rPr>
                <w:rFonts w:ascii="Times New Roman" w:hAnsi="Times New Roman"/>
                <w:sz w:val="20"/>
              </w:rPr>
              <w:t>15%</w:t>
            </w:r>
          </w:p>
        </w:tc>
        <w:tc>
          <w:tcPr>
            <w:tcW w:type="dxa" w:w="1344"/>
            <w:tcW w:w="1984" w:type="dxa"/>
          </w:tcPr>
          <w:p>
            <w:r>
              <w:rPr>
                <w:rFonts w:ascii="Times New Roman" w:hAnsi="Times New Roman"/>
                <w:sz w:val="20"/>
              </w:rPr>
            </w:r>
          </w:p>
        </w:tc>
      </w:tr>
    </w:tbl>
    <w:p>
      <w:r>
        <w:rPr>
          <w:rFonts w:ascii="Times New Roman" w:hAnsi="Times New Roman"/>
          <w:b w:val="0"/>
          <w:i/>
          <w:sz w:val="18"/>
        </w:rPr>
        <w:t>Ghi chú: "Probable mental disorder" dựa trên SDQ. Năm 2020 = COVID bùng phát. Tỷ lệ tăng giữa 2017–2020, ổn định 2020–2021, tăng lại 2021–2022, giảm nhẹ 2022–2023 nhưng vẫn cao hơn trước đại dịch đáng kể.</w:t>
      </w:r>
    </w:p>
    <w:p>
      <w:r>
        <w:rPr>
          <w:rFonts w:ascii="Times New Roman" w:hAnsi="Times New Roman"/>
          <w:b/>
          <w:i w:val="0"/>
          <w:sz w:val="24"/>
        </w:rPr>
        <w:t>Giới tính và tuổi:</w:t>
      </w:r>
    </w:p>
    <w:p>
      <w:r>
        <w:rPr>
          <w:rFonts w:ascii="Times New Roman" w:hAnsi="Times New Roman"/>
          <w:b w:val="0"/>
          <w:i w:val="0"/>
          <w:sz w:val="24"/>
        </w:rPr>
        <w:t>• Trẻ 8–10: NAM nhiều hơn nữ (20% vs 14%) — mô hình ngoại hóa.</w:t>
      </w:r>
    </w:p>
    <w:p>
      <w:r>
        <w:rPr>
          <w:rFonts w:ascii="Times New Roman" w:hAnsi="Times New Roman"/>
          <w:b w:val="0"/>
          <w:i w:val="0"/>
          <w:sz w:val="24"/>
        </w:rPr>
        <w:t>• VTN 17–19: NỮ nhiều hơn nam (32% vs 15%) — mô hình nội hóa. Khoảng cách GẤP ĐÔI.</w:t>
      </w:r>
    </w:p>
    <w:p>
      <w:r>
        <w:rPr>
          <w:rFonts w:ascii="Times New Roman" w:hAnsi="Times New Roman"/>
          <w:b w:val="0"/>
          <w:i w:val="0"/>
          <w:sz w:val="24"/>
        </w:rPr>
        <w:t>• Dân tộc: Trẻ nhóm Trắng có tỷ lệ cao hơn (20%) so với nhóm thiểu số (10%) năm 2021 — NGƯỢC với người lớn.</w:t>
      </w:r>
    </w:p>
    <w:p>
      <w:r>
        <w:rPr>
          <w:rFonts w:ascii="Times New Roman" w:hAnsi="Times New Roman"/>
          <w:b w:val="0"/>
          <w:i w:val="0"/>
          <w:sz w:val="24"/>
        </w:rPr>
        <w:t>• SEND (Nhu cầu Giáo dục Đặc biệt): 57% có RLTT có thể — gấp 4 lần trẻ không SEND (13%).</w:t>
      </w:r>
    </w:p>
    <w:p>
      <w:r>
        <w:rPr>
          <w:rFonts w:ascii="Times New Roman" w:hAnsi="Times New Roman"/>
          <w:i/>
          <w:color w:val="808080"/>
          <w:sz w:val="18"/>
        </w:rPr>
        <w:t>--- Trang 19–27, UK Parliament Briefing, SN06988 ---</w:t>
      </w:r>
    </w:p>
    <w:p>
      <w:pPr>
        <w:pStyle w:val="Heading2"/>
      </w:pPr>
      <w:r>
        <w:rPr>
          <w:rFonts w:ascii="Times New Roman" w:hAnsi="Times New Roman"/>
          <w:color w:val="000000"/>
        </w:rPr>
        <w:t>3. DỊCH VỤ SKTT NHS</w:t>
      </w:r>
    </w:p>
    <w:p>
      <w:pPr>
        <w:pStyle w:val="Heading3"/>
      </w:pPr>
      <w:r>
        <w:rPr>
          <w:rFonts w:ascii="Times New Roman" w:hAnsi="Times New Roman"/>
          <w:color w:val="000000"/>
        </w:rPr>
        <w:t>Bảng 2. Dịch vụ SKTT NHS England</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2268" w:type="dxa"/>
            <w:shd w:fill="D9E2F3" w:val="clear"/>
          </w:tcPr>
          <w:p>
            <w:pPr>
              <w:jc w:val="center"/>
            </w:pPr>
            <w:r>
              <w:rPr>
                <w:rFonts w:ascii="Times New Roman" w:hAnsi="Times New Roman"/>
                <w:b/>
                <w:sz w:val="20"/>
              </w:rPr>
              <w:t>Chỉ số</w:t>
            </w:r>
          </w:p>
        </w:tc>
        <w:tc>
          <w:tcPr>
            <w:tcW w:type="dxa" w:w="2351"/>
            <w:tcW w:w="1417" w:type="dxa"/>
            <w:shd w:fill="D9E2F3" w:val="clear"/>
          </w:tcPr>
          <w:p>
            <w:pPr>
              <w:jc w:val="center"/>
            </w:pPr>
            <w:r>
              <w:rPr>
                <w:rFonts w:ascii="Times New Roman" w:hAnsi="Times New Roman"/>
                <w:b/>
                <w:sz w:val="20"/>
              </w:rPr>
              <w:t>Giá trị</w:t>
            </w:r>
          </w:p>
        </w:tc>
        <w:tc>
          <w:tcPr>
            <w:tcW w:type="dxa" w:w="2351"/>
            <w:tcW w:w="1134" w:type="dxa"/>
            <w:shd w:fill="D9E2F3" w:val="clear"/>
          </w:tcPr>
          <w:p>
            <w:pPr>
              <w:jc w:val="center"/>
            </w:pPr>
            <w:r>
              <w:rPr>
                <w:rFonts w:ascii="Times New Roman" w:hAnsi="Times New Roman"/>
                <w:b/>
                <w:sz w:val="20"/>
              </w:rPr>
              <w:t>Năm</w:t>
            </w:r>
          </w:p>
        </w:tc>
        <w:tc>
          <w:tcPr>
            <w:tcW w:type="dxa" w:w="2351"/>
            <w:tcW w:w="2835" w:type="dxa"/>
            <w:shd w:fill="D9E2F3" w:val="clear"/>
          </w:tcPr>
          <w:p>
            <w:pPr>
              <w:jc w:val="center"/>
            </w:pPr>
            <w:r>
              <w:rPr>
                <w:rFonts w:ascii="Times New Roman" w:hAnsi="Times New Roman"/>
                <w:b/>
                <w:sz w:val="20"/>
              </w:rPr>
              <w:t>Ghi chú</w:t>
            </w:r>
          </w:p>
        </w:tc>
      </w:tr>
      <w:tr>
        <w:tc>
          <w:tcPr>
            <w:tcW w:type="dxa" w:w="2351"/>
            <w:tcW w:w="2268" w:type="dxa"/>
          </w:tcPr>
          <w:p>
            <w:r>
              <w:rPr>
                <w:rFonts w:ascii="Times New Roman" w:hAnsi="Times New Roman"/>
                <w:sz w:val="20"/>
              </w:rPr>
              <w:t>Người tiếp xúc SKTT NHS</w:t>
            </w:r>
          </w:p>
        </w:tc>
        <w:tc>
          <w:tcPr>
            <w:tcW w:type="dxa" w:w="2351"/>
            <w:tcW w:w="1417" w:type="dxa"/>
          </w:tcPr>
          <w:p>
            <w:r>
              <w:rPr>
                <w:rFonts w:ascii="Times New Roman" w:hAnsi="Times New Roman"/>
                <w:sz w:val="20"/>
              </w:rPr>
              <w:t>3,58 triệu</w:t>
            </w:r>
          </w:p>
        </w:tc>
        <w:tc>
          <w:tcPr>
            <w:tcW w:type="dxa" w:w="2351"/>
            <w:tcW w:w="1134" w:type="dxa"/>
          </w:tcPr>
          <w:p>
            <w:r>
              <w:rPr>
                <w:rFonts w:ascii="Times New Roman" w:hAnsi="Times New Roman"/>
                <w:sz w:val="20"/>
              </w:rPr>
              <w:t>2022/23</w:t>
            </w:r>
          </w:p>
        </w:tc>
        <w:tc>
          <w:tcPr>
            <w:tcW w:type="dxa" w:w="2351"/>
            <w:tcW w:w="2835" w:type="dxa"/>
          </w:tcPr>
          <w:p>
            <w:r>
              <w:rPr>
                <w:rFonts w:ascii="Times New Roman" w:hAnsi="Times New Roman"/>
                <w:sz w:val="20"/>
              </w:rPr>
              <w:t>6% dân số; tăng 24% so với 2019/20</w:t>
            </w:r>
          </w:p>
        </w:tc>
      </w:tr>
      <w:tr>
        <w:tc>
          <w:tcPr>
            <w:tcW w:type="dxa" w:w="2351"/>
            <w:tcW w:w="2268" w:type="dxa"/>
          </w:tcPr>
          <w:p>
            <w:r>
              <w:rPr>
                <w:rFonts w:ascii="Times New Roman" w:hAnsi="Times New Roman"/>
                <w:sz w:val="20"/>
              </w:rPr>
              <w:t>Nhập viện nội trú</w:t>
            </w:r>
          </w:p>
        </w:tc>
        <w:tc>
          <w:tcPr>
            <w:tcW w:type="dxa" w:w="2351"/>
            <w:tcW w:w="1417" w:type="dxa"/>
          </w:tcPr>
          <w:p>
            <w:r>
              <w:rPr>
                <w:rFonts w:ascii="Times New Roman" w:hAnsi="Times New Roman"/>
                <w:sz w:val="20"/>
              </w:rPr>
              <w:t>92.000</w:t>
            </w:r>
          </w:p>
        </w:tc>
        <w:tc>
          <w:tcPr>
            <w:tcW w:type="dxa" w:w="2351"/>
            <w:tcW w:w="1134" w:type="dxa"/>
          </w:tcPr>
          <w:p>
            <w:r>
              <w:rPr>
                <w:rFonts w:ascii="Times New Roman" w:hAnsi="Times New Roman"/>
                <w:sz w:val="20"/>
              </w:rPr>
              <w:t>2022/23</w:t>
            </w:r>
          </w:p>
        </w:tc>
        <w:tc>
          <w:tcPr>
            <w:tcW w:type="dxa" w:w="2351"/>
            <w:tcW w:w="2835" w:type="dxa"/>
          </w:tcPr>
          <w:p>
            <w:r>
              <w:rPr>
                <w:rFonts w:ascii="Times New Roman" w:hAnsi="Times New Roman"/>
                <w:sz w:val="20"/>
              </w:rPr>
              <w:t>&lt;3% tổng tiếp xúc</w:t>
            </w:r>
          </w:p>
        </w:tc>
      </w:tr>
      <w:tr>
        <w:tc>
          <w:tcPr>
            <w:tcW w:type="dxa" w:w="2351"/>
            <w:tcW w:w="2268" w:type="dxa"/>
          </w:tcPr>
          <w:p>
            <w:r>
              <w:rPr>
                <w:rFonts w:ascii="Times New Roman" w:hAnsi="Times New Roman"/>
                <w:sz w:val="20"/>
              </w:rPr>
              <w:t>VTN 11–15 tiếp xúc NHS</w:t>
            </w:r>
          </w:p>
        </w:tc>
        <w:tc>
          <w:tcPr>
            <w:tcW w:type="dxa" w:w="2351"/>
            <w:tcW w:w="1417" w:type="dxa"/>
          </w:tcPr>
          <w:p>
            <w:r>
              <w:rPr>
                <w:rFonts w:ascii="Times New Roman" w:hAnsi="Times New Roman"/>
                <w:sz w:val="20"/>
              </w:rPr>
              <w:t>16,7% dân số nhóm tuổi</w:t>
            </w:r>
          </w:p>
        </w:tc>
        <w:tc>
          <w:tcPr>
            <w:tcW w:type="dxa" w:w="2351"/>
            <w:tcW w:w="1134" w:type="dxa"/>
          </w:tcPr>
          <w:p>
            <w:r>
              <w:rPr>
                <w:rFonts w:ascii="Times New Roman" w:hAnsi="Times New Roman"/>
                <w:sz w:val="20"/>
              </w:rPr>
              <w:t>2022/23</w:t>
            </w:r>
          </w:p>
        </w:tc>
        <w:tc>
          <w:tcPr>
            <w:tcW w:type="dxa" w:w="2351"/>
            <w:tcW w:w="2835" w:type="dxa"/>
          </w:tcPr>
          <w:p>
            <w:r>
              <w:rPr>
                <w:rFonts w:ascii="Times New Roman" w:hAnsi="Times New Roman"/>
                <w:sz w:val="20"/>
              </w:rPr>
              <w:t>Cao nhất trong các nhóm tuổi</w:t>
            </w:r>
          </w:p>
        </w:tc>
      </w:tr>
      <w:tr>
        <w:tc>
          <w:tcPr>
            <w:tcW w:type="dxa" w:w="2351"/>
            <w:tcW w:w="2268" w:type="dxa"/>
          </w:tcPr>
          <w:p>
            <w:r>
              <w:rPr>
                <w:rFonts w:ascii="Times New Roman" w:hAnsi="Times New Roman"/>
                <w:sz w:val="20"/>
              </w:rPr>
              <w:t>VTN 16–19 tiếp xúc NHS</w:t>
            </w:r>
          </w:p>
        </w:tc>
        <w:tc>
          <w:tcPr>
            <w:tcW w:type="dxa" w:w="2351"/>
            <w:tcW w:w="1417" w:type="dxa"/>
          </w:tcPr>
          <w:p>
            <w:r>
              <w:rPr>
                <w:rFonts w:ascii="Times New Roman" w:hAnsi="Times New Roman"/>
                <w:sz w:val="20"/>
              </w:rPr>
              <w:t>14,6%</w:t>
            </w:r>
          </w:p>
        </w:tc>
        <w:tc>
          <w:tcPr>
            <w:tcW w:type="dxa" w:w="2351"/>
            <w:tcW w:w="1134" w:type="dxa"/>
          </w:tcPr>
          <w:p>
            <w:r>
              <w:rPr>
                <w:rFonts w:ascii="Times New Roman" w:hAnsi="Times New Roman"/>
                <w:sz w:val="20"/>
              </w:rPr>
              <w:t>2022/23</w:t>
            </w:r>
          </w:p>
        </w:tc>
        <w:tc>
          <w:tcPr>
            <w:tcW w:type="dxa" w:w="2351"/>
            <w:tcW w:w="2835" w:type="dxa"/>
          </w:tcPr>
          <w:p>
            <w:r>
              <w:rPr>
                <w:rFonts w:ascii="Times New Roman" w:hAnsi="Times New Roman"/>
                <w:sz w:val="20"/>
              </w:rPr>
            </w:r>
          </w:p>
        </w:tc>
      </w:tr>
      <w:tr>
        <w:tc>
          <w:tcPr>
            <w:tcW w:type="dxa" w:w="2351"/>
            <w:tcW w:w="2268" w:type="dxa"/>
          </w:tcPr>
          <w:p>
            <w:r>
              <w:rPr>
                <w:rFonts w:ascii="Times New Roman" w:hAnsi="Times New Roman"/>
                <w:sz w:val="20"/>
              </w:rPr>
              <w:t>Giới thiệu TTAD</w:t>
            </w:r>
          </w:p>
        </w:tc>
        <w:tc>
          <w:tcPr>
            <w:tcW w:type="dxa" w:w="2351"/>
            <w:tcW w:w="1417" w:type="dxa"/>
          </w:tcPr>
          <w:p>
            <w:r>
              <w:rPr>
                <w:rFonts w:ascii="Times New Roman" w:hAnsi="Times New Roman"/>
                <w:sz w:val="20"/>
              </w:rPr>
              <w:t>1,76 triệu</w:t>
            </w:r>
          </w:p>
        </w:tc>
        <w:tc>
          <w:tcPr>
            <w:tcW w:type="dxa" w:w="2351"/>
            <w:tcW w:w="1134" w:type="dxa"/>
          </w:tcPr>
          <w:p>
            <w:r>
              <w:rPr>
                <w:rFonts w:ascii="Times New Roman" w:hAnsi="Times New Roman"/>
                <w:sz w:val="20"/>
              </w:rPr>
              <w:t>2022/23</w:t>
            </w:r>
          </w:p>
        </w:tc>
        <w:tc>
          <w:tcPr>
            <w:tcW w:type="dxa" w:w="2351"/>
            <w:tcW w:w="2835" w:type="dxa"/>
          </w:tcPr>
          <w:p>
            <w:r>
              <w:rPr>
                <w:rFonts w:ascii="Times New Roman" w:hAnsi="Times New Roman"/>
                <w:sz w:val="20"/>
              </w:rPr>
              <w:t>Giảm 2,9% so với 2021/22</w:t>
            </w:r>
          </w:p>
        </w:tc>
      </w:tr>
      <w:tr>
        <w:tc>
          <w:tcPr>
            <w:tcW w:type="dxa" w:w="2351"/>
            <w:tcW w:w="2268" w:type="dxa"/>
          </w:tcPr>
          <w:p>
            <w:r>
              <w:rPr>
                <w:rFonts w:ascii="Times New Roman" w:hAnsi="Times New Roman"/>
                <w:sz w:val="20"/>
              </w:rPr>
              <w:t>Hoàn thành điều trị TTAD</w:t>
            </w:r>
          </w:p>
        </w:tc>
        <w:tc>
          <w:tcPr>
            <w:tcW w:type="dxa" w:w="2351"/>
            <w:tcW w:w="1417" w:type="dxa"/>
          </w:tcPr>
          <w:p>
            <w:r>
              <w:rPr>
                <w:rFonts w:ascii="Times New Roman" w:hAnsi="Times New Roman"/>
                <w:sz w:val="20"/>
              </w:rPr>
              <w:t>672.000</w:t>
            </w:r>
          </w:p>
        </w:tc>
        <w:tc>
          <w:tcPr>
            <w:tcW w:type="dxa" w:w="2351"/>
            <w:tcW w:w="1134" w:type="dxa"/>
          </w:tcPr>
          <w:p>
            <w:r>
              <w:rPr>
                <w:rFonts w:ascii="Times New Roman" w:hAnsi="Times New Roman"/>
                <w:sz w:val="20"/>
              </w:rPr>
              <w:t>2022/23</w:t>
            </w:r>
          </w:p>
        </w:tc>
        <w:tc>
          <w:tcPr>
            <w:tcW w:type="dxa" w:w="2351"/>
            <w:tcW w:w="2835" w:type="dxa"/>
          </w:tcPr>
          <w:p>
            <w:r>
              <w:rPr>
                <w:rFonts w:ascii="Times New Roman" w:hAnsi="Times New Roman"/>
                <w:sz w:val="20"/>
              </w:rPr>
              <w:t>38% số giới thiệu</w:t>
            </w:r>
          </w:p>
        </w:tc>
      </w:tr>
      <w:tr>
        <w:tc>
          <w:tcPr>
            <w:tcW w:type="dxa" w:w="2351"/>
            <w:tcW w:w="2268" w:type="dxa"/>
          </w:tcPr>
          <w:p>
            <w:r>
              <w:rPr>
                <w:rFonts w:ascii="Times New Roman" w:hAnsi="Times New Roman"/>
                <w:sz w:val="20"/>
              </w:rPr>
              <w:t>TTAD cải thiện</w:t>
            </w:r>
          </w:p>
        </w:tc>
        <w:tc>
          <w:tcPr>
            <w:tcW w:type="dxa" w:w="2351"/>
            <w:tcW w:w="1417" w:type="dxa"/>
          </w:tcPr>
          <w:p>
            <w:r>
              <w:rPr>
                <w:rFonts w:ascii="Times New Roman" w:hAnsi="Times New Roman"/>
                <w:sz w:val="20"/>
              </w:rPr>
              <w:t>66,5%</w:t>
            </w:r>
          </w:p>
        </w:tc>
        <w:tc>
          <w:tcPr>
            <w:tcW w:type="dxa" w:w="2351"/>
            <w:tcW w:w="1134" w:type="dxa"/>
          </w:tcPr>
          <w:p>
            <w:r>
              <w:rPr>
                <w:rFonts w:ascii="Times New Roman" w:hAnsi="Times New Roman"/>
                <w:sz w:val="20"/>
              </w:rPr>
              <w:t>2022/23</w:t>
            </w:r>
          </w:p>
        </w:tc>
        <w:tc>
          <w:tcPr>
            <w:tcW w:type="dxa" w:w="2351"/>
            <w:tcW w:w="2835" w:type="dxa"/>
          </w:tcPr>
          <w:p>
            <w:r>
              <w:rPr>
                <w:rFonts w:ascii="Times New Roman" w:hAnsi="Times New Roman"/>
                <w:sz w:val="20"/>
              </w:rPr>
              <w:t>Giảm từ 68,3% (2020/21)</w:t>
            </w:r>
          </w:p>
        </w:tc>
      </w:tr>
      <w:tr>
        <w:tc>
          <w:tcPr>
            <w:tcW w:type="dxa" w:w="2351"/>
            <w:tcW w:w="2268" w:type="dxa"/>
          </w:tcPr>
          <w:p>
            <w:r>
              <w:rPr>
                <w:rFonts w:ascii="Times New Roman" w:hAnsi="Times New Roman"/>
                <w:sz w:val="20"/>
              </w:rPr>
              <w:t>TTAD phục hồi</w:t>
            </w:r>
          </w:p>
        </w:tc>
        <w:tc>
          <w:tcPr>
            <w:tcW w:type="dxa" w:w="2351"/>
            <w:tcW w:w="1417" w:type="dxa"/>
          </w:tcPr>
          <w:p>
            <w:r>
              <w:rPr>
                <w:rFonts w:ascii="Times New Roman" w:hAnsi="Times New Roman"/>
                <w:sz w:val="20"/>
              </w:rPr>
              <w:t>49,9%</w:t>
            </w:r>
          </w:p>
        </w:tc>
        <w:tc>
          <w:tcPr>
            <w:tcW w:type="dxa" w:w="2351"/>
            <w:tcW w:w="1134" w:type="dxa"/>
          </w:tcPr>
          <w:p>
            <w:r>
              <w:rPr>
                <w:rFonts w:ascii="Times New Roman" w:hAnsi="Times New Roman"/>
                <w:sz w:val="20"/>
              </w:rPr>
              <w:t>2022/23</w:t>
            </w:r>
          </w:p>
        </w:tc>
        <w:tc>
          <w:tcPr>
            <w:tcW w:type="dxa" w:w="2351"/>
            <w:tcW w:w="2835" w:type="dxa"/>
          </w:tcPr>
          <w:p>
            <w:r>
              <w:rPr>
                <w:rFonts w:ascii="Times New Roman" w:hAnsi="Times New Roman"/>
                <w:sz w:val="20"/>
              </w:rPr>
              <w:t>Mục tiêu 50% — gần đạt</w:t>
            </w:r>
          </w:p>
        </w:tc>
      </w:tr>
      <w:tr>
        <w:tc>
          <w:tcPr>
            <w:tcW w:type="dxa" w:w="2351"/>
            <w:tcW w:w="2268" w:type="dxa"/>
          </w:tcPr>
          <w:p>
            <w:r>
              <w:rPr>
                <w:rFonts w:ascii="Times New Roman" w:hAnsi="Times New Roman"/>
                <w:sz w:val="20"/>
              </w:rPr>
              <w:t>Thời gian chờ trung vị</w:t>
            </w:r>
          </w:p>
        </w:tc>
        <w:tc>
          <w:tcPr>
            <w:tcW w:type="dxa" w:w="2351"/>
            <w:tcW w:w="1417" w:type="dxa"/>
          </w:tcPr>
          <w:p>
            <w:r>
              <w:rPr>
                <w:rFonts w:ascii="Times New Roman" w:hAnsi="Times New Roman"/>
                <w:sz w:val="20"/>
              </w:rPr>
              <w:t>45 ngày</w:t>
            </w:r>
          </w:p>
        </w:tc>
        <w:tc>
          <w:tcPr>
            <w:tcW w:type="dxa" w:w="2351"/>
            <w:tcW w:w="1134" w:type="dxa"/>
          </w:tcPr>
          <w:p>
            <w:r>
              <w:rPr>
                <w:rFonts w:ascii="Times New Roman" w:hAnsi="Times New Roman"/>
                <w:sz w:val="20"/>
              </w:rPr>
              <w:t>Q4 2023</w:t>
            </w:r>
          </w:p>
        </w:tc>
        <w:tc>
          <w:tcPr>
            <w:tcW w:type="dxa" w:w="2351"/>
            <w:tcW w:w="2835" w:type="dxa"/>
          </w:tcPr>
          <w:p>
            <w:r>
              <w:rPr>
                <w:rFonts w:ascii="Times New Roman" w:hAnsi="Times New Roman"/>
                <w:sz w:val="20"/>
              </w:rPr>
              <w:t>Dao động 11–121 ngày theo vùng</w:t>
            </w:r>
          </w:p>
        </w:tc>
      </w:tr>
      <w:tr>
        <w:tc>
          <w:tcPr>
            <w:tcW w:type="dxa" w:w="2351"/>
            <w:tcW w:w="2268" w:type="dxa"/>
          </w:tcPr>
          <w:p>
            <w:r>
              <w:rPr>
                <w:rFonts w:ascii="Times New Roman" w:hAnsi="Times New Roman"/>
                <w:sz w:val="20"/>
              </w:rPr>
              <w:t>Thời gian chờ P90</w:t>
            </w:r>
          </w:p>
        </w:tc>
        <w:tc>
          <w:tcPr>
            <w:tcW w:type="dxa" w:w="2351"/>
            <w:tcW w:w="1417" w:type="dxa"/>
          </w:tcPr>
          <w:p>
            <w:r>
              <w:rPr>
                <w:rFonts w:ascii="Times New Roman" w:hAnsi="Times New Roman"/>
                <w:sz w:val="20"/>
              </w:rPr>
              <w:t>251 ngày</w:t>
            </w:r>
          </w:p>
        </w:tc>
        <w:tc>
          <w:tcPr>
            <w:tcW w:type="dxa" w:w="2351"/>
            <w:tcW w:w="1134" w:type="dxa"/>
          </w:tcPr>
          <w:p>
            <w:r>
              <w:rPr>
                <w:rFonts w:ascii="Times New Roman" w:hAnsi="Times New Roman"/>
                <w:sz w:val="20"/>
              </w:rPr>
              <w:t>Q4 2023</w:t>
            </w:r>
          </w:p>
        </w:tc>
        <w:tc>
          <w:tcPr>
            <w:tcW w:type="dxa" w:w="2351"/>
            <w:tcW w:w="2835" w:type="dxa"/>
          </w:tcPr>
          <w:p>
            <w:r>
              <w:rPr>
                <w:rFonts w:ascii="Times New Roman" w:hAnsi="Times New Roman"/>
                <w:sz w:val="20"/>
              </w:rPr>
              <w:t>Dài nhất: 1.087 ngày (Cheshire)</w:t>
            </w:r>
          </w:p>
        </w:tc>
      </w:tr>
    </w:tbl>
    <w:p>
      <w:r>
        <w:rPr>
          <w:rFonts w:ascii="Times New Roman" w:hAnsi="Times New Roman"/>
          <w:b/>
          <w:i w:val="0"/>
          <w:sz w:val="24"/>
        </w:rPr>
        <w:t>TTAD (Talking Therapies for Anxiety and Depression):</w:t>
      </w:r>
    </w:p>
    <w:p>
      <w:r>
        <w:rPr>
          <w:rFonts w:ascii="Times New Roman" w:hAnsi="Times New Roman"/>
          <w:b w:val="0"/>
          <w:i w:val="0"/>
          <w:sz w:val="24"/>
        </w:rPr>
        <w:t>Chương trình liệu pháp tâm lý NHS, ra mắt 2008 (trước là IAPT). Bao gồm CBT, tư vấn, hỗ trợ tự lực. Người lớn tuổi lao động có CMD. Tự giới thiệu hoặc GP giới thiệu. 1,76 triệu giới thiệu/năm. Cải thiện 66,5%, phục hồi 49,9%. GAD có tỷ lệ cải thiện cao nhất (70,7%).</w:t>
      </w:r>
    </w:p>
    <w:p>
      <w:r>
        <w:rPr>
          <w:rFonts w:ascii="Times New Roman" w:hAnsi="Times New Roman"/>
          <w:b/>
          <w:i w:val="0"/>
          <w:sz w:val="24"/>
        </w:rPr>
        <w:t>Người trẻ kém hơn:</w:t>
      </w:r>
    </w:p>
    <w:p>
      <w:r>
        <w:rPr>
          <w:rFonts w:ascii="Times New Roman" w:hAnsi="Times New Roman"/>
          <w:b w:val="0"/>
          <w:i w:val="0"/>
          <w:sz w:val="24"/>
        </w:rPr>
        <w:t>• VTN dưới 18: chỉ 57% vào điều trị, 20% hoàn thành (thấp hơn nhiều so với người lớn 70%/40%).</w:t>
      </w:r>
    </w:p>
    <w:p>
      <w:r>
        <w:rPr>
          <w:rFonts w:ascii="Times New Roman" w:hAnsi="Times New Roman"/>
          <w:b w:val="0"/>
          <w:i w:val="0"/>
          <w:sz w:val="24"/>
        </w:rPr>
        <w:t>• Phục hồi thấp hơn ở nhóm 25 trở xuống — không đạt mục tiêu 50%.</w:t>
      </w:r>
    </w:p>
    <w:p>
      <w:r>
        <w:rPr>
          <w:rFonts w:ascii="Times New Roman" w:hAnsi="Times New Roman"/>
          <w:b w:val="0"/>
          <w:i w:val="0"/>
          <w:sz w:val="24"/>
        </w:rPr>
        <w:t>• Nữ nhiều khả năng cải thiện hơn, nhưng nam nhiều khả năng phục hồi hơn.</w:t>
      </w:r>
    </w:p>
    <w:p>
      <w:r>
        <w:rPr>
          <w:rFonts w:ascii="Times New Roman" w:hAnsi="Times New Roman"/>
          <w:i/>
          <w:color w:val="808080"/>
          <w:sz w:val="18"/>
        </w:rPr>
        <w:t>--- Trang 30–40, UK Parliament Briefing, SN06988 ---</w:t>
      </w:r>
    </w:p>
    <w:p>
      <w:pPr>
        <w:pStyle w:val="Heading2"/>
      </w:pPr>
      <w:r>
        <w:rPr>
          <w:rFonts w:ascii="Times New Roman" w:hAnsi="Times New Roman"/>
          <w:color w:val="000000"/>
        </w:rPr>
        <w:t>4. CHI TIÊU SKTT NHS</w:t>
      </w:r>
    </w:p>
    <w:p>
      <w:pPr>
        <w:pStyle w:val="Heading3"/>
      </w:pPr>
      <w:r>
        <w:rPr>
          <w:rFonts w:ascii="Times New Roman" w:hAnsi="Times New Roman"/>
          <w:color w:val="000000"/>
        </w:rPr>
        <w:t>Bảng 3. Chi tiêu SKTT NHS England</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2268" w:type="dxa"/>
            <w:shd w:fill="D9E2F3" w:val="clear"/>
          </w:tcPr>
          <w:p>
            <w:pPr>
              <w:jc w:val="center"/>
            </w:pPr>
            <w:r>
              <w:rPr>
                <w:rFonts w:ascii="Times New Roman" w:hAnsi="Times New Roman"/>
                <w:b/>
                <w:sz w:val="20"/>
              </w:rPr>
              <w:t>Chỉ số</w:t>
            </w:r>
          </w:p>
        </w:tc>
        <w:tc>
          <w:tcPr>
            <w:tcW w:type="dxa" w:w="3135"/>
            <w:tcW w:w="1701" w:type="dxa"/>
            <w:shd w:fill="D9E2F3" w:val="clear"/>
          </w:tcPr>
          <w:p>
            <w:pPr>
              <w:jc w:val="center"/>
            </w:pPr>
            <w:r>
              <w:rPr>
                <w:rFonts w:ascii="Times New Roman" w:hAnsi="Times New Roman"/>
                <w:b/>
                <w:sz w:val="20"/>
              </w:rPr>
              <w:t>Giá trị</w:t>
            </w:r>
          </w:p>
        </w:tc>
        <w:tc>
          <w:tcPr>
            <w:tcW w:type="dxa" w:w="3135"/>
            <w:tcW w:w="3402" w:type="dxa"/>
            <w:shd w:fill="D9E2F3" w:val="clear"/>
          </w:tcPr>
          <w:p>
            <w:pPr>
              <w:jc w:val="center"/>
            </w:pPr>
            <w:r>
              <w:rPr>
                <w:rFonts w:ascii="Times New Roman" w:hAnsi="Times New Roman"/>
                <w:b/>
                <w:sz w:val="20"/>
              </w:rPr>
              <w:t>Ghi chú</w:t>
            </w:r>
          </w:p>
        </w:tc>
      </w:tr>
      <w:tr>
        <w:tc>
          <w:tcPr>
            <w:tcW w:type="dxa" w:w="3135"/>
            <w:tcW w:w="2268" w:type="dxa"/>
          </w:tcPr>
          <w:p>
            <w:r>
              <w:rPr>
                <w:rFonts w:ascii="Times New Roman" w:hAnsi="Times New Roman"/>
                <w:sz w:val="20"/>
              </w:rPr>
              <w:t>Tổng chi tiêu SKTT NHS</w:t>
            </w:r>
          </w:p>
        </w:tc>
        <w:tc>
          <w:tcPr>
            <w:tcW w:type="dxa" w:w="3135"/>
            <w:tcW w:w="1701" w:type="dxa"/>
          </w:tcPr>
          <w:p>
            <w:r>
              <w:rPr>
                <w:rFonts w:ascii="Times New Roman" w:hAnsi="Times New Roman"/>
                <w:sz w:val="20"/>
              </w:rPr>
              <w:t>£16 tỷ/năm</w:t>
            </w:r>
          </w:p>
        </w:tc>
        <w:tc>
          <w:tcPr>
            <w:tcW w:type="dxa" w:w="3135"/>
            <w:tcW w:w="3402" w:type="dxa"/>
          </w:tcPr>
          <w:p>
            <w:r>
              <w:rPr>
                <w:rFonts w:ascii="Times New Roman" w:hAnsi="Times New Roman"/>
                <w:sz w:val="20"/>
              </w:rPr>
              <w:t>14% ngân sách NHS địa phương (2022/23)</w:t>
            </w:r>
          </w:p>
        </w:tc>
      </w:tr>
      <w:tr>
        <w:tc>
          <w:tcPr>
            <w:tcW w:type="dxa" w:w="3135"/>
            <w:tcW w:w="2268" w:type="dxa"/>
          </w:tcPr>
          <w:p>
            <w:r>
              <w:rPr>
                <w:rFonts w:ascii="Times New Roman" w:hAnsi="Times New Roman"/>
                <w:sz w:val="20"/>
              </w:rPr>
              <w:t>Tăng so với 2016/17</w:t>
            </w:r>
          </w:p>
        </w:tc>
        <w:tc>
          <w:tcPr>
            <w:tcW w:type="dxa" w:w="3135"/>
            <w:tcW w:w="1701" w:type="dxa"/>
          </w:tcPr>
          <w:p>
            <w:r>
              <w:rPr>
                <w:rFonts w:ascii="Times New Roman" w:hAnsi="Times New Roman"/>
                <w:sz w:val="20"/>
              </w:rPr>
              <w:t>+£4,7 tỷ</w:t>
            </w:r>
          </w:p>
        </w:tc>
        <w:tc>
          <w:tcPr>
            <w:tcW w:type="dxa" w:w="3135"/>
            <w:tcW w:w="3402" w:type="dxa"/>
          </w:tcPr>
          <w:p>
            <w:r>
              <w:rPr>
                <w:rFonts w:ascii="Times New Roman" w:hAnsi="Times New Roman"/>
                <w:sz w:val="20"/>
              </w:rPr>
              <w:t>Tăng từ £11,6 tỷ</w:t>
            </w:r>
          </w:p>
        </w:tc>
      </w:tr>
      <w:tr>
        <w:tc>
          <w:tcPr>
            <w:tcW w:type="dxa" w:w="3135"/>
            <w:tcW w:w="2268" w:type="dxa"/>
          </w:tcPr>
          <w:p>
            <w:r>
              <w:rPr>
                <w:rFonts w:ascii="Times New Roman" w:hAnsi="Times New Roman"/>
                <w:sz w:val="20"/>
              </w:rPr>
              <w:t>Chi tiêu SKTT CYP</w:t>
            </w:r>
          </w:p>
        </w:tc>
        <w:tc>
          <w:tcPr>
            <w:tcW w:type="dxa" w:w="3135"/>
            <w:tcW w:w="1701" w:type="dxa"/>
          </w:tcPr>
          <w:p>
            <w:r>
              <w:rPr>
                <w:rFonts w:ascii="Times New Roman" w:hAnsi="Times New Roman"/>
                <w:sz w:val="20"/>
              </w:rPr>
              <w:t>£1 tỷ+</w:t>
            </w:r>
          </w:p>
        </w:tc>
        <w:tc>
          <w:tcPr>
            <w:tcW w:type="dxa" w:w="3135"/>
            <w:tcW w:w="3402" w:type="dxa"/>
          </w:tcPr>
          <w:p>
            <w:r>
              <w:rPr>
                <w:rFonts w:ascii="Times New Roman" w:hAnsi="Times New Roman"/>
                <w:sz w:val="20"/>
              </w:rPr>
              <w:t>Ước tính — khó tách riêng</w:t>
            </w:r>
          </w:p>
        </w:tc>
      </w:tr>
      <w:tr>
        <w:tc>
          <w:tcPr>
            <w:tcW w:type="dxa" w:w="3135"/>
            <w:tcW w:w="2268" w:type="dxa"/>
          </w:tcPr>
          <w:p>
            <w:r>
              <w:rPr>
                <w:rFonts w:ascii="Times New Roman" w:hAnsi="Times New Roman"/>
                <w:sz w:val="20"/>
              </w:rPr>
              <w:t>Chi tiêu bình quân/người</w:t>
            </w:r>
          </w:p>
        </w:tc>
        <w:tc>
          <w:tcPr>
            <w:tcW w:type="dxa" w:w="3135"/>
            <w:tcW w:w="1701" w:type="dxa"/>
          </w:tcPr>
          <w:p>
            <w:r>
              <w:rPr>
                <w:rFonts w:ascii="Times New Roman" w:hAnsi="Times New Roman"/>
                <w:sz w:val="20"/>
              </w:rPr>
              <w:t>~£280/năm</w:t>
            </w:r>
          </w:p>
        </w:tc>
        <w:tc>
          <w:tcPr>
            <w:tcW w:type="dxa" w:w="3135"/>
            <w:tcW w:w="3402" w:type="dxa"/>
          </w:tcPr>
          <w:p>
            <w:r>
              <w:rPr>
                <w:rFonts w:ascii="Times New Roman" w:hAnsi="Times New Roman"/>
                <w:sz w:val="20"/>
              </w:rPr>
              <w:t>Dao động theo vùng</w:t>
            </w:r>
          </w:p>
        </w:tc>
      </w:tr>
      <w:tr>
        <w:tc>
          <w:tcPr>
            <w:tcW w:type="dxa" w:w="3135"/>
            <w:tcW w:w="2268" w:type="dxa"/>
          </w:tcPr>
          <w:p>
            <w:r>
              <w:rPr>
                <w:rFonts w:ascii="Times New Roman" w:hAnsi="Times New Roman"/>
                <w:sz w:val="20"/>
              </w:rPr>
              <w:t>So sánh với VN</w:t>
            </w:r>
          </w:p>
        </w:tc>
        <w:tc>
          <w:tcPr>
            <w:tcW w:type="dxa" w:w="3135"/>
            <w:tcW w:w="1701" w:type="dxa"/>
          </w:tcPr>
          <w:p>
            <w:r>
              <w:rPr>
                <w:rFonts w:ascii="Times New Roman" w:hAnsi="Times New Roman"/>
                <w:sz w:val="20"/>
              </w:rPr>
              <w:t>CHƯA CÓ số liệu VN</w:t>
            </w:r>
          </w:p>
        </w:tc>
        <w:tc>
          <w:tcPr>
            <w:tcW w:type="dxa" w:w="3135"/>
            <w:tcW w:w="3402" w:type="dxa"/>
          </w:tcPr>
          <w:p>
            <w:r>
              <w:rPr>
                <w:rFonts w:ascii="Times New Roman" w:hAnsi="Times New Roman"/>
                <w:sz w:val="20"/>
              </w:rPr>
              <w:t>VN: 8,4% tiếp cận vs NHS phổ quát</w:t>
            </w:r>
          </w:p>
        </w:tc>
      </w:tr>
    </w:tbl>
    <w:p>
      <w:pPr>
        <w:pStyle w:val="Heading2"/>
      </w:pPr>
      <w:r>
        <w:rPr>
          <w:rFonts w:ascii="Times New Roman" w:hAnsi="Times New Roman"/>
          <w:color w:val="000000"/>
        </w:rPr>
        <w:t>5. TRẦM CẢM, COVID-19, VÀ GIÁ SINH HOẠT</w:t>
      </w:r>
    </w:p>
    <w:p>
      <w:r>
        <w:rPr>
          <w:rFonts w:ascii="Times New Roman" w:hAnsi="Times New Roman"/>
          <w:b w:val="0"/>
          <w:i w:val="0"/>
          <w:sz w:val="24"/>
        </w:rPr>
        <w:t>ONS theo dõi trầm cảm người lớn GB trong và sau COVID. Trầm cảm trung bình–nặng: 10% trước COVID → 21% đỉnh (1–3/2021) → 16% (9–10/2022). Vẫn cao hơn trước đại dịch.</w:t>
      </w:r>
    </w:p>
    <w:p>
      <w:r>
        <w:rPr>
          <w:rFonts w:ascii="Times New Roman" w:hAnsi="Times New Roman"/>
          <w:b w:val="0"/>
          <w:i w:val="0"/>
          <w:sz w:val="24"/>
        </w:rPr>
        <w:t>Chi phí sinh hoạt liên quan: 24% người khó trả hóa đơn năng lượng có trầm cảm (vs 9% người dễ trả). 27% người thuê nhà có trầm cảm (vs 10% sở hữu nhà).</w:t>
      </w:r>
    </w:p>
    <w:p>
      <w:pPr>
        <w:pStyle w:val="Heading2"/>
      </w:pPr>
      <w:r>
        <w:rPr>
          <w:rFonts w:ascii="Times New Roman" w:hAnsi="Times New Roman"/>
          <w:color w:val="000000"/>
        </w:rPr>
        <w:t>6. KẾT LUẬN</w:t>
      </w:r>
    </w:p>
    <w:p>
      <w:r>
        <w:rPr>
          <w:rFonts w:ascii="Times New Roman" w:hAnsi="Times New Roman"/>
          <w:b w:val="0"/>
          <w:i w:val="0"/>
          <w:sz w:val="24"/>
        </w:rPr>
        <w:t>Dữ liệu NHS England cho thấy RLTT trẻ em/VTN tăng đáng kể: 12% → 20% (8–16 tuổi), 10% → 23% (17–19 tuổi), nữ 17–19 lên 32%. NHS chi £16 tỷ/năm nhưng vẫn không đáp ứng đủ nhu cầu (thời gian chờ dài, phục hồi chỉ 49,9%). So với VN (8,4% tiếp cận, chưa có số liệu chi tiêu) — khoảng cách khổng lồ.</w:t>
      </w:r>
    </w:p>
    <w:p>
      <w:pPr>
        <w:pStyle w:val="Heading2"/>
      </w:pPr>
      <w:r>
        <w:rPr>
          <w:rFonts w:ascii="Times New Roman" w:hAnsi="Times New Roman"/>
          <w:color w:val="000000"/>
        </w:rPr>
        <w:t>TÀI LIỆU THAM KHẢO</w:t>
      </w:r>
    </w:p>
    <w:p>
      <w:r>
        <w:rPr>
          <w:rFonts w:ascii="Times New Roman" w:hAnsi="Times New Roman"/>
          <w:b w:val="0"/>
          <w:i w:val="0"/>
          <w:sz w:val="20"/>
        </w:rPr>
        <w:t>Baker, C. &amp; Kirk-Wade, E. (2024). Mental Health Statistics: Prevalence, Services and Funding in England. House of Commons Library, SN06988.</w:t>
      </w:r>
    </w:p>
    <w:p>
      <w:r>
        <w:rPr>
          <w:rFonts w:ascii="Times New Roman" w:hAnsi="Times New Roman"/>
          <w:b w:val="0"/>
          <w:i w:val="0"/>
          <w:sz w:val="20"/>
        </w:rPr>
        <w:t>NHS Digital (2023). Mental Health of Children and Young People in England 2023.</w:t>
      </w:r>
    </w:p>
    <w:p>
      <w:r>
        <w:rPr>
          <w:rFonts w:ascii="Times New Roman" w:hAnsi="Times New Roman"/>
          <w:b w:val="0"/>
          <w:i w:val="0"/>
          <w:sz w:val="20"/>
        </w:rPr>
        <w:t>ONS (2022). Cost of living and depression in adults, Great Britain.</w:t>
      </w:r>
    </w:p>
    <w:p>
      <w:r>
        <w:rPr>
          <w:rFonts w:ascii="Times New Roman" w:hAnsi="Times New Roman"/>
          <w:b w:val="0"/>
          <w:i/>
          <w:sz w:val="20"/>
        </w:rPr>
        <w:t>(Xem đầy đủ trong bài gốc — 30+ nguồn)</w:t>
      </w:r>
    </w:p>
    <w:p>
      <w:pPr>
        <w:pStyle w:val="Heading2"/>
      </w:pPr>
      <w:r>
        <w:rPr>
          <w:rFonts w:ascii="Times New Roman" w:hAnsi="Times New Roman"/>
          <w:color w:val="000000"/>
        </w:rPr>
        <w:t>BẢNG VIẾT TẮT</w:t>
      </w:r>
    </w:p>
    <w:tbl>
      <w:tblPr>
        <w:tblStyle w:val="TableGrid"/>
        <w:tblW w:type="auto" w:w="0"/>
        <w:tblLook w:firstColumn="1" w:firstRow="1" w:lastColumn="0" w:lastRow="0" w:noHBand="0" w:noVBand="1" w:val="04A0"/>
      </w:tblPr>
      <w:tblGrid>
        <w:gridCol w:w="4702"/>
        <w:gridCol w:w="4702"/>
      </w:tblGrid>
      <w:tr>
        <w:tc>
          <w:tcPr>
            <w:tcW w:type="dxa" w:w="4702"/>
            <w:tcW w:w="1701" w:type="dxa"/>
            <w:shd w:fill="D9E2F3" w:val="clear"/>
          </w:tcPr>
          <w:p>
            <w:r>
              <w:rPr>
                <w:rFonts w:ascii="Times New Roman" w:hAnsi="Times New Roman"/>
                <w:b/>
                <w:sz w:val="20"/>
              </w:rPr>
              <w:t>Viết tắt</w:t>
            </w:r>
          </w:p>
        </w:tc>
        <w:tc>
          <w:tcPr>
            <w:tcW w:type="dxa" w:w="4702"/>
            <w:tcW w:w="7371" w:type="dxa"/>
            <w:shd w:fill="D9E2F3" w:val="clear"/>
          </w:tcPr>
          <w:p>
            <w:r>
              <w:rPr>
                <w:rFonts w:ascii="Times New Roman" w:hAnsi="Times New Roman"/>
                <w:b/>
                <w:sz w:val="20"/>
              </w:rPr>
              <w:t>Đầy đủ</w:t>
            </w:r>
          </w:p>
        </w:tc>
      </w:tr>
      <w:tr>
        <w:tc>
          <w:tcPr>
            <w:tcW w:type="dxa" w:w="4702"/>
            <w:tcW w:w="1701" w:type="dxa"/>
          </w:tcPr>
          <w:p>
            <w:r>
              <w:rPr>
                <w:rFonts w:ascii="Times New Roman" w:hAnsi="Times New Roman"/>
                <w:sz w:val="20"/>
              </w:rPr>
              <w:t>NHS</w:t>
            </w:r>
          </w:p>
        </w:tc>
        <w:tc>
          <w:tcPr>
            <w:tcW w:type="dxa" w:w="4702"/>
            <w:tcW w:w="7371" w:type="dxa"/>
          </w:tcPr>
          <w:p>
            <w:r>
              <w:rPr>
                <w:rFonts w:ascii="Times New Roman" w:hAnsi="Times New Roman"/>
                <w:sz w:val="20"/>
              </w:rPr>
              <w:t>National Health Service — Dịch vụ Y tế Quốc gia Anh</w:t>
            </w:r>
          </w:p>
        </w:tc>
      </w:tr>
      <w:tr>
        <w:tc>
          <w:tcPr>
            <w:tcW w:type="dxa" w:w="4702"/>
            <w:tcW w:w="1701" w:type="dxa"/>
          </w:tcPr>
          <w:p>
            <w:r>
              <w:rPr>
                <w:rFonts w:ascii="Times New Roman" w:hAnsi="Times New Roman"/>
                <w:sz w:val="20"/>
              </w:rPr>
              <w:t>CMD</w:t>
            </w:r>
          </w:p>
        </w:tc>
        <w:tc>
          <w:tcPr>
            <w:tcW w:type="dxa" w:w="4702"/>
            <w:tcW w:w="7371" w:type="dxa"/>
          </w:tcPr>
          <w:p>
            <w:r>
              <w:rPr>
                <w:rFonts w:ascii="Times New Roman" w:hAnsi="Times New Roman"/>
                <w:sz w:val="20"/>
              </w:rPr>
              <w:t>Common Mental Disorder — Rối loạn Tâm thần Phổ biến</w:t>
            </w:r>
          </w:p>
        </w:tc>
      </w:tr>
      <w:tr>
        <w:tc>
          <w:tcPr>
            <w:tcW w:type="dxa" w:w="4702"/>
            <w:tcW w:w="1701" w:type="dxa"/>
          </w:tcPr>
          <w:p>
            <w:r>
              <w:rPr>
                <w:rFonts w:ascii="Times New Roman" w:hAnsi="Times New Roman"/>
                <w:sz w:val="20"/>
              </w:rPr>
              <w:t>GAD</w:t>
            </w:r>
          </w:p>
        </w:tc>
        <w:tc>
          <w:tcPr>
            <w:tcW w:type="dxa" w:w="4702"/>
            <w:tcW w:w="7371" w:type="dxa"/>
          </w:tcPr>
          <w:p>
            <w:r>
              <w:rPr>
                <w:rFonts w:ascii="Times New Roman" w:hAnsi="Times New Roman"/>
                <w:sz w:val="20"/>
              </w:rPr>
              <w:t>Generalised Anxiety Disorder — Rối loạn Lo âu Tổng quát</w:t>
            </w:r>
          </w:p>
        </w:tc>
      </w:tr>
      <w:tr>
        <w:tc>
          <w:tcPr>
            <w:tcW w:type="dxa" w:w="4702"/>
            <w:tcW w:w="1701" w:type="dxa"/>
          </w:tcPr>
          <w:p>
            <w:r>
              <w:rPr>
                <w:rFonts w:ascii="Times New Roman" w:hAnsi="Times New Roman"/>
                <w:sz w:val="20"/>
              </w:rPr>
              <w:t>SDQ</w:t>
            </w:r>
          </w:p>
        </w:tc>
        <w:tc>
          <w:tcPr>
            <w:tcW w:type="dxa" w:w="4702"/>
            <w:tcW w:w="7371" w:type="dxa"/>
          </w:tcPr>
          <w:p>
            <w:r>
              <w:rPr>
                <w:rFonts w:ascii="Times New Roman" w:hAnsi="Times New Roman"/>
                <w:sz w:val="20"/>
              </w:rPr>
              <w:t>Strengths and Difficulties Questionnaire — Bảng hỏi Điểm mạnh Khó khăn</w:t>
            </w:r>
          </w:p>
        </w:tc>
      </w:tr>
      <w:tr>
        <w:tc>
          <w:tcPr>
            <w:tcW w:type="dxa" w:w="4702"/>
            <w:tcW w:w="1701" w:type="dxa"/>
          </w:tcPr>
          <w:p>
            <w:r>
              <w:rPr>
                <w:rFonts w:ascii="Times New Roman" w:hAnsi="Times New Roman"/>
                <w:sz w:val="20"/>
              </w:rPr>
              <w:t>TTAD</w:t>
            </w:r>
          </w:p>
        </w:tc>
        <w:tc>
          <w:tcPr>
            <w:tcW w:type="dxa" w:w="4702"/>
            <w:tcW w:w="7371" w:type="dxa"/>
          </w:tcPr>
          <w:p>
            <w:r>
              <w:rPr>
                <w:rFonts w:ascii="Times New Roman" w:hAnsi="Times New Roman"/>
                <w:sz w:val="20"/>
              </w:rPr>
              <w:t>Talking Therapies for Anxiety and Depression (trước: IAPT)</w:t>
            </w:r>
          </w:p>
        </w:tc>
      </w:tr>
      <w:tr>
        <w:tc>
          <w:tcPr>
            <w:tcW w:type="dxa" w:w="4702"/>
            <w:tcW w:w="1701" w:type="dxa"/>
          </w:tcPr>
          <w:p>
            <w:r>
              <w:rPr>
                <w:rFonts w:ascii="Times New Roman" w:hAnsi="Times New Roman"/>
                <w:sz w:val="20"/>
              </w:rPr>
              <w:t>IAPT</w:t>
            </w:r>
          </w:p>
        </w:tc>
        <w:tc>
          <w:tcPr>
            <w:tcW w:type="dxa" w:w="4702"/>
            <w:tcW w:w="7371" w:type="dxa"/>
          </w:tcPr>
          <w:p>
            <w:r>
              <w:rPr>
                <w:rFonts w:ascii="Times New Roman" w:hAnsi="Times New Roman"/>
                <w:sz w:val="20"/>
              </w:rPr>
              <w:t>Improving Access to Psychological Therapies</w:t>
            </w:r>
          </w:p>
        </w:tc>
      </w:tr>
      <w:tr>
        <w:tc>
          <w:tcPr>
            <w:tcW w:type="dxa" w:w="4702"/>
            <w:tcW w:w="1701" w:type="dxa"/>
          </w:tcPr>
          <w:p>
            <w:r>
              <w:rPr>
                <w:rFonts w:ascii="Times New Roman" w:hAnsi="Times New Roman"/>
                <w:sz w:val="20"/>
              </w:rPr>
              <w:t>CBT</w:t>
            </w:r>
          </w:p>
        </w:tc>
        <w:tc>
          <w:tcPr>
            <w:tcW w:type="dxa" w:w="4702"/>
            <w:tcW w:w="7371" w:type="dxa"/>
          </w:tcPr>
          <w:p>
            <w:r>
              <w:rPr>
                <w:rFonts w:ascii="Times New Roman" w:hAnsi="Times New Roman"/>
                <w:sz w:val="20"/>
              </w:rPr>
              <w:t>Cognitive-Behavioural Therapy — Liệu pháp Nhận thức-Hành vi</w:t>
            </w:r>
          </w:p>
        </w:tc>
      </w:tr>
      <w:tr>
        <w:tc>
          <w:tcPr>
            <w:tcW w:type="dxa" w:w="4702"/>
            <w:tcW w:w="1701" w:type="dxa"/>
          </w:tcPr>
          <w:p>
            <w:r>
              <w:rPr>
                <w:rFonts w:ascii="Times New Roman" w:hAnsi="Times New Roman"/>
                <w:sz w:val="20"/>
              </w:rPr>
              <w:t>SEND</w:t>
            </w:r>
          </w:p>
        </w:tc>
        <w:tc>
          <w:tcPr>
            <w:tcW w:type="dxa" w:w="4702"/>
            <w:tcW w:w="7371" w:type="dxa"/>
          </w:tcPr>
          <w:p>
            <w:r>
              <w:rPr>
                <w:rFonts w:ascii="Times New Roman" w:hAnsi="Times New Roman"/>
                <w:sz w:val="20"/>
              </w:rPr>
              <w:t>Special Educational Needs and Disabilities — Nhu cầu Giáo dục Đặc biệt</w:t>
            </w:r>
          </w:p>
        </w:tc>
      </w:tr>
      <w:tr>
        <w:tc>
          <w:tcPr>
            <w:tcW w:type="dxa" w:w="4702"/>
            <w:tcW w:w="1701" w:type="dxa"/>
          </w:tcPr>
          <w:p>
            <w:r>
              <w:rPr>
                <w:rFonts w:ascii="Times New Roman" w:hAnsi="Times New Roman"/>
                <w:sz w:val="20"/>
              </w:rPr>
              <w:t>ONS</w:t>
            </w:r>
          </w:p>
        </w:tc>
        <w:tc>
          <w:tcPr>
            <w:tcW w:type="dxa" w:w="4702"/>
            <w:tcW w:w="7371" w:type="dxa"/>
          </w:tcPr>
          <w:p>
            <w:r>
              <w:rPr>
                <w:rFonts w:ascii="Times New Roman" w:hAnsi="Times New Roman"/>
                <w:sz w:val="20"/>
              </w:rPr>
              <w:t>Office for National Statistics — Cục Thống kê Quốc gia Anh</w:t>
            </w:r>
          </w:p>
        </w:tc>
      </w:tr>
      <w:tr>
        <w:tc>
          <w:tcPr>
            <w:tcW w:type="dxa" w:w="4702"/>
            <w:tcW w:w="1701" w:type="dxa"/>
          </w:tcPr>
          <w:p>
            <w:r>
              <w:rPr>
                <w:rFonts w:ascii="Times New Roman" w:hAnsi="Times New Roman"/>
                <w:sz w:val="20"/>
              </w:rPr>
              <w:t>PHQ8</w:t>
            </w:r>
          </w:p>
        </w:tc>
        <w:tc>
          <w:tcPr>
            <w:tcW w:type="dxa" w:w="4702"/>
            <w:tcW w:w="7371" w:type="dxa"/>
          </w:tcPr>
          <w:p>
            <w:r>
              <w:rPr>
                <w:rFonts w:ascii="Times New Roman" w:hAnsi="Times New Roman"/>
                <w:sz w:val="20"/>
              </w:rPr>
              <w:t>Patient Health Questionnaire 8-item</w:t>
            </w:r>
          </w:p>
        </w:tc>
      </w:tr>
      <w:tr>
        <w:tc>
          <w:tcPr>
            <w:tcW w:type="dxa" w:w="4702"/>
            <w:tcW w:w="1701" w:type="dxa"/>
          </w:tcPr>
          <w:p>
            <w:r>
              <w:rPr>
                <w:rFonts w:ascii="Times New Roman" w:hAnsi="Times New Roman"/>
                <w:sz w:val="20"/>
              </w:rPr>
              <w:t>CYP</w:t>
            </w:r>
          </w:p>
        </w:tc>
        <w:tc>
          <w:tcPr>
            <w:tcW w:type="dxa" w:w="4702"/>
            <w:tcW w:w="7371" w:type="dxa"/>
          </w:tcPr>
          <w:p>
            <w:r>
              <w:rPr>
                <w:rFonts w:ascii="Times New Roman" w:hAnsi="Times New Roman"/>
                <w:sz w:val="20"/>
              </w:rPr>
              <w:t>Children and Young People — Trẻ em và Thanh niên</w:t>
            </w:r>
          </w:p>
        </w:tc>
      </w:tr>
      <w:tr>
        <w:tc>
          <w:tcPr>
            <w:tcW w:type="dxa" w:w="4702"/>
            <w:tcW w:w="1701" w:type="dxa"/>
          </w:tcPr>
          <w:p>
            <w:r>
              <w:rPr>
                <w:rFonts w:ascii="Times New Roman" w:hAnsi="Times New Roman"/>
                <w:sz w:val="20"/>
              </w:rPr>
              <w:t>CYPMHS</w:t>
            </w:r>
          </w:p>
        </w:tc>
        <w:tc>
          <w:tcPr>
            <w:tcW w:type="dxa" w:w="4702"/>
            <w:tcW w:w="7371" w:type="dxa"/>
          </w:tcPr>
          <w:p>
            <w:r>
              <w:rPr>
                <w:rFonts w:ascii="Times New Roman" w:hAnsi="Times New Roman"/>
                <w:sz w:val="20"/>
              </w:rPr>
              <w:t>Children and Young People's Mental Health Services</w:t>
            </w:r>
          </w:p>
        </w:tc>
      </w:tr>
    </w:tbl>
    <w:p>
      <w:r>
        <w:rPr>
          <w:rFonts w:ascii="Times New Roman" w:hAnsi="Times New Roman"/>
          <w:b/>
          <w:color w:val="FF0000"/>
          <w:sz w:val="26"/>
        </w:rPr>
        <w:t>QUAN ĐIỂM PHẢN BIỆN / CRITICAL REVIEW</w:t>
      </w:r>
    </w:p>
    <w:p>
      <w:r>
        <w:rPr>
          <w:rFonts w:ascii="Times New Roman" w:hAnsi="Times New Roman"/>
          <w:b/>
          <w:color w:val="FF0000"/>
          <w:sz w:val="24"/>
        </w:rPr>
        <w:t>Điểm mạnh:</w:t>
      </w:r>
    </w:p>
    <w:p>
      <w:r>
        <w:rPr>
          <w:rFonts w:ascii="Times New Roman" w:hAnsi="Times New Roman"/>
          <w:b w:val="0"/>
          <w:color w:val="FF0000"/>
          <w:sz w:val="24"/>
        </w:rPr>
        <w:t>• UK Parliament — nguồn chính thức, dữ liệu NHS đáng tin cậy nhất.</w:t>
      </w:r>
    </w:p>
    <w:p>
      <w:r>
        <w:rPr>
          <w:rFonts w:ascii="Times New Roman" w:hAnsi="Times New Roman"/>
          <w:b w:val="0"/>
          <w:color w:val="FF0000"/>
          <w:sz w:val="24"/>
        </w:rPr>
        <w:t>• Xu hướng dài hạn 2017–2023 với 5 thời điểm — cho thấy tác động COVID rõ ràng.</w:t>
      </w:r>
    </w:p>
    <w:p>
      <w:r>
        <w:rPr>
          <w:rFonts w:ascii="Times New Roman" w:hAnsi="Times New Roman"/>
          <w:b w:val="0"/>
          <w:color w:val="FF0000"/>
          <w:sz w:val="24"/>
        </w:rPr>
        <w:t>• Bao gồm tỷ lệ + dịch vụ + chi tiêu + can thiệp — bức tranh toàn diện nhất trong Đề tài.</w:t>
      </w:r>
    </w:p>
    <w:p>
      <w:r>
        <w:rPr>
          <w:rFonts w:ascii="Times New Roman" w:hAnsi="Times New Roman"/>
          <w:b w:val="0"/>
          <w:color w:val="FF0000"/>
          <w:sz w:val="24"/>
        </w:rPr>
        <w:t>• Phân tầng theo tuổi, giới, dân tộc, SEND, vùng — rất chi tiết.</w:t>
      </w:r>
    </w:p>
    <w:p>
      <w:r>
        <w:rPr>
          <w:rFonts w:ascii="Times New Roman" w:hAnsi="Times New Roman"/>
          <w:b w:val="0"/>
          <w:color w:val="FF0000"/>
          <w:sz w:val="24"/>
        </w:rPr>
        <w:t>• TTAD (CBT quốc gia): 1,76 triệu giới thiệu/năm — chương trình can thiệp tâm lý lớn nhất thế giới. Phù hợp để học hỏi mô hình cho VN (Zugman et al. 2024, AJP: CBT hàng đầu).</w:t>
      </w:r>
    </w:p>
    <w:p>
      <w:r>
        <w:rPr>
          <w:rFonts w:ascii="Times New Roman" w:hAnsi="Times New Roman"/>
          <w:b/>
          <w:color w:val="FF0000"/>
          <w:sz w:val="24"/>
        </w:rPr>
        <w:t>Hạn chế chi tiết:</w:t>
      </w:r>
    </w:p>
    <w:p>
      <w:r>
        <w:rPr>
          <w:rFonts w:ascii="Times New Roman" w:hAnsi="Times New Roman"/>
          <w:b w:val="0"/>
          <w:color w:val="FF0000"/>
          <w:sz w:val="24"/>
        </w:rPr>
        <w:t>• Briefing paper — tổng hợp, KHÔNG có peer review. Dữ liệu từ nhiều nguồn khác nhau.</w:t>
      </w:r>
    </w:p>
    <w:p>
      <w:r>
        <w:rPr>
          <w:rFonts w:ascii="Times New Roman" w:hAnsi="Times New Roman"/>
          <w:b w:val="0"/>
          <w:color w:val="FF0000"/>
          <w:sz w:val="24"/>
        </w:rPr>
        <w:t>• Chỉ England — Scotland, Wales, NI có hệ thống riêng, dữ liệu khác.</w:t>
      </w:r>
    </w:p>
    <w:p>
      <w:r>
        <w:rPr>
          <w:rFonts w:ascii="Times New Roman" w:hAnsi="Times New Roman"/>
          <w:b w:val="0"/>
          <w:color w:val="FF0000"/>
          <w:sz w:val="24"/>
        </w:rPr>
        <w:t>• NHS phổ quát miễn phí — bối cảnh hoàn toàn khác VN (y tế tư nhân, bảo hiểm hạn chế, thiếu nhân lực SKTT).</w:t>
      </w:r>
    </w:p>
    <w:p>
      <w:r>
        <w:rPr>
          <w:rFonts w:ascii="Times New Roman" w:hAnsi="Times New Roman"/>
          <w:b w:val="0"/>
          <w:color w:val="FF0000"/>
          <w:sz w:val="24"/>
        </w:rPr>
        <w:t>• "Probable mental disorder" (SDQ) — sàng lọc, không chẩn đoán. So với V-NAMHS 2022 (DISC-5 chẩn đoán: 2,3%) — khác phương pháp nên không so sánh trực tiếp tỷ lệ.</w:t>
      </w:r>
    </w:p>
    <w:p>
      <w:r>
        <w:rPr>
          <w:rFonts w:ascii="Times New Roman" w:hAnsi="Times New Roman"/>
          <w:b w:val="0"/>
          <w:color w:val="FF0000"/>
          <w:sz w:val="24"/>
        </w:rPr>
        <w:t>• Không có dữ liệu lo âu riêng cho VTN — chỉ RLTT chung. JAACAP 2024 (QT23) tách lo âu riêng.</w:t>
      </w:r>
    </w:p>
    <w:p>
      <w:r>
        <w:rPr>
          <w:rFonts w:ascii="Times New Roman" w:hAnsi="Times New Roman"/>
          <w:b w:val="0"/>
          <w:color w:val="FF0000"/>
          <w:sz w:val="24"/>
        </w:rPr>
        <w:t>• Thời gian chờ dao động cực lớn (11–1.087 ngày) — phản ánh bất bình đẳng vùng ngay cả trong NHS phổ quát.</w:t>
      </w:r>
    </w:p>
    <w:p>
      <w:r>
        <w:rPr>
          <w:rFonts w:ascii="Times New Roman" w:hAnsi="Times New Roman"/>
          <w:b/>
          <w:color w:val="FF0000"/>
          <w:sz w:val="24"/>
        </w:rPr>
        <w:t>Khoảng trống NC / Gap:</w:t>
      </w:r>
    </w:p>
    <w:p>
      <w:r>
        <w:rPr>
          <w:rFonts w:ascii="Times New Roman" w:hAnsi="Times New Roman"/>
          <w:b w:val="0"/>
          <w:color w:val="FF0000"/>
          <w:sz w:val="24"/>
        </w:rPr>
        <w:t>• VN CHƯA CÓ báo cáo thống kê tương đương — cần tổng hợp tỷ lệ + dịch vụ + chi tiêu SKTT VTN. V-NAMHS 2022 là bước đầu nhưng chưa đủ chi tiết.</w:t>
      </w:r>
    </w:p>
    <w:p>
      <w:r>
        <w:rPr>
          <w:rFonts w:ascii="Times New Roman" w:hAnsi="Times New Roman"/>
          <w:b w:val="0"/>
          <w:color w:val="FF0000"/>
          <w:sz w:val="24"/>
        </w:rPr>
        <w:t>• So sánh chi tiêu SKTT: UK £16 tỷ vs VN chưa có số liệu. Ước tính chi tiêu/đầu người để đánh giá khoảng cách.</w:t>
      </w:r>
    </w:p>
    <w:p>
      <w:r>
        <w:rPr>
          <w:rFonts w:ascii="Times New Roman" w:hAnsi="Times New Roman"/>
          <w:b w:val="0"/>
          <w:color w:val="FF0000"/>
          <w:sz w:val="24"/>
        </w:rPr>
        <w:t>• Mô hình TTAD/IAPT (CBT quốc gia) — có thể áp dụng cho VN? Cần đánh giá tính khả thi (nhân lực, chi phí, văn hóa). BMC NMA 2025 (QT29) xác nhận CBT hiệu quả hàng đầu.</w:t>
      </w:r>
    </w:p>
    <w:p>
      <w:r>
        <w:rPr>
          <w:rFonts w:ascii="Times New Roman" w:hAnsi="Times New Roman"/>
          <w:b w:val="0"/>
          <w:color w:val="FF0000"/>
          <w:sz w:val="24"/>
        </w:rPr>
        <w:t>• SEND có tỷ lệ RLTT 57% — VN có dữ liệu tương tự cho trẻ khuyết tật không? Ngô Anh Vinh 2024 (VN15): DTTS 54,4% — mô hình tương tự.</w:t>
      </w:r>
    </w:p>
    <w:p>
      <w:r>
        <w:rPr>
          <w:rFonts w:ascii="Times New Roman" w:hAnsi="Times New Roman"/>
          <w:b w:val="0"/>
          <w:color w:val="FF0000"/>
          <w:sz w:val="24"/>
        </w:rPr>
        <w:t>• VTN dưới 18 hoàn thành điều trị thấp (20%) — rào cản gì? So với VN: chỉ 8,4% tiếp cận → rào cản còn lớn hơn nhiều.</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