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color w:val="000000"/>
        </w:rPr>
        <w:t>TỔNG HỢP LIÊN BÀI BÁO</w:t>
        <w:br/>
        <w:t>LO ÂU Ở HỌC SINH THCS VÀ THPT</w:t>
      </w:r>
    </w:p>
    <w:p>
      <w:r>
        <w:rPr>
          <w:rFonts w:ascii="Times New Roman" w:hAnsi="Times New Roman"/>
          <w:b/>
          <w:i w:val="0"/>
          <w:sz w:val="24"/>
        </w:rPr>
        <w:t>Phân tích sâu từ 35 nghiên cứu (2020–2025)</w:t>
      </w:r>
    </w:p>
    <w:p>
      <w:r>
        <w:rPr>
          <w:rFonts w:ascii="Times New Roman" w:hAnsi="Times New Roman"/>
          <w:b w:val="0"/>
          <w:i w:val="0"/>
          <w:sz w:val="24"/>
        </w:rPr>
        <w:t>Việt Nam — Đông Nam Á — Thế giới | Cập nhật: 04/04/2026</w:t>
      </w:r>
    </w:p>
    <w:p>
      <w:r>
        <w:rPr>
          <w:rFonts w:ascii="Times New Roman" w:hAnsi="Times New Roman"/>
          <w:b w:val="0"/>
          <w:i w:val="0"/>
          <w:sz w:val="24"/>
        </w:rPr>
        <w:t>7 bài Việt Nam + 28 bài quốc tế | 35 bản dịch + 37 tóm tắt</w:t>
      </w:r>
    </w:p>
    <w:p>
      <w:pPr>
        <w:pStyle w:val="Heading2"/>
      </w:pPr>
      <w:r>
        <w:rPr>
          <w:rFonts w:ascii="Times New Roman" w:hAnsi="Times New Roman"/>
          <w:color w:val="000000"/>
        </w:rPr>
        <w:t>1. Tỷ lệ lo âu theo quốc gia, công cụ và năm</w:t>
      </w:r>
    </w:p>
    <w:p>
      <w:r>
        <w:rPr>
          <w:rFonts w:ascii="Times New Roman" w:hAnsi="Times New Roman"/>
          <w:b w:val="0"/>
          <w:i w:val="0"/>
          <w:sz w:val="24"/>
        </w:rPr>
        <w:t>Bảng dưới đây tổng hợp tỷ lệ lo âu từ 35 NC tại 20+ quốc gia. Điểm quan trọng nhất: sự khác biệt rất lớn giữa các NC phản ánh khác biệt CÔNG CỤ ĐO, không nhất thiết khác biệt thực sự.</w:t>
      </w:r>
    </w:p>
    <w:p>
      <w:pPr>
        <w:pStyle w:val="Heading3"/>
      </w:pPr>
      <w:r>
        <w:rPr>
          <w:rFonts w:ascii="Times New Roman" w:hAnsi="Times New Roman"/>
          <w:color w:val="000000"/>
        </w:rPr>
        <w:t>Bảng 1. Tỷ lệ lo âu VTN — Tổng hợp 35 bài NC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tcW w:w="1701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Quốc gia</w:t>
            </w:r>
          </w:p>
        </w:tc>
        <w:tc>
          <w:tcPr>
            <w:tcW w:type="dxa" w:w="1881"/>
            <w:tcW w:w="1701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Tỷ lệ</w:t>
            </w:r>
          </w:p>
        </w:tc>
        <w:tc>
          <w:tcPr>
            <w:tcW w:type="dxa" w:w="1881"/>
            <w:tcW w:w="1701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Công cụ</w:t>
            </w:r>
          </w:p>
        </w:tc>
        <w:tc>
          <w:tcPr>
            <w:tcW w:type="dxa" w:w="1881"/>
            <w:tcW w:w="1134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</w:t>
            </w:r>
          </w:p>
        </w:tc>
        <w:tc>
          <w:tcPr>
            <w:tcW w:type="dxa" w:w="1881"/>
            <w:tcW w:w="1701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Nguồn</w:t>
            </w:r>
          </w:p>
        </w:tc>
      </w:tr>
      <w:tr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VN — Hà Nội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40,6%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GAD-7 (sàng lọc)</w:t>
            </w:r>
          </w:p>
        </w:tc>
        <w:tc>
          <w:tcPr>
            <w:tcW w:type="dxa" w:w="188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3.910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Hoa 2024 (VN1)</w:t>
            </w:r>
          </w:p>
        </w:tc>
      </w:tr>
      <w:tr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VN — Quốc gia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2,3% (chẩn đoán)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DISC-5/DSM-5</w:t>
            </w:r>
          </w:p>
        </w:tc>
        <w:tc>
          <w:tcPr>
            <w:tcW w:type="dxa" w:w="188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5.996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V-NAMHS 2022 (VN2)</w:t>
            </w:r>
          </w:p>
        </w:tc>
      </w:tr>
      <w:tr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VN — DTTS Lạng Sơn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54,4%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DASS-21</w:t>
            </w:r>
          </w:p>
        </w:tc>
        <w:tc>
          <w:tcPr>
            <w:tcW w:type="dxa" w:w="188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845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Ngô Anh Vinh 2024 (VN15)</w:t>
            </w:r>
          </w:p>
        </w:tc>
      </w:tr>
      <w:tr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VN — Hà Nội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86,2%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DASS-21</w:t>
            </w:r>
          </w:p>
        </w:tc>
        <w:tc>
          <w:tcPr>
            <w:tcW w:type="dxa" w:w="188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501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Bảo Quyên 2025 (VN16)</w:t>
            </w:r>
          </w:p>
        </w:tc>
      </w:tr>
      <w:tr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VN — Thanh Hóa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49,0%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DASS-21</w:t>
            </w:r>
          </w:p>
        </w:tc>
        <w:tc>
          <w:tcPr>
            <w:tcW w:type="dxa" w:w="188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482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Danh Lâm 2022 (VN17)</w:t>
            </w:r>
          </w:p>
        </w:tc>
      </w:tr>
      <w:tr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VN — An Giang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61,2%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DASS-21</w:t>
            </w:r>
          </w:p>
        </w:tc>
        <w:tc>
          <w:tcPr>
            <w:tcW w:type="dxa" w:w="188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366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An Giang 2025 (VN18)</w:t>
            </w:r>
          </w:p>
        </w:tc>
      </w:tr>
      <w:tr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VN — Huế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65,8%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DASS-21</w:t>
            </w:r>
          </w:p>
        </w:tc>
        <w:tc>
          <w:tcPr>
            <w:tcW w:type="dxa" w:w="188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685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Thảo Vi 2025 (VN19)</w:t>
            </w:r>
          </w:p>
        </w:tc>
      </w:tr>
      <w:tr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VN — TPHCM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25,1%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DASS-Y (VTN riêng)</w:t>
            </w:r>
          </w:p>
        </w:tc>
        <w:tc>
          <w:tcPr>
            <w:tcW w:type="dxa" w:w="188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976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Vĩnh Lộc 2024 (VN20)</w:t>
            </w:r>
          </w:p>
        </w:tc>
      </w:tr>
      <w:tr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VN — 7 nước (SAD)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30,7%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SIAS-17 (lo âu XH)</w:t>
            </w:r>
          </w:p>
        </w:tc>
        <w:tc>
          <w:tcPr>
            <w:tcW w:type="dxa" w:w="188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6.825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Jefferies 2020 (QT35)</w:t>
            </w:r>
          </w:p>
        </w:tc>
      </w:tr>
      <w:tr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Mỹ — hệ thống y tế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9,6%→19,2%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Chẩn đoán lâm sàng</w:t>
            </w:r>
          </w:p>
        </w:tc>
        <w:tc>
          <w:tcPr>
            <w:tcW w:type="dxa" w:w="188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13,7 triệu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Mojtabai &amp; Olfson 2024 — JAACAP (QT23)</w:t>
            </w:r>
          </w:p>
        </w:tc>
      </w:tr>
      <w:tr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Mỹ — trẻ em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Lo âu tăng 61%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NSCH</w:t>
            </w:r>
          </w:p>
        </w:tc>
        <w:tc>
          <w:tcPr>
            <w:tcW w:type="dxa" w:w="188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Quốc gia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NSCH 2020 (QT04)</w:t>
            </w:r>
          </w:p>
        </w:tc>
      </w:tr>
      <w:tr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Châu Âu — WHO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9 triệu VTN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Tổng hợp</w:t>
            </w:r>
          </w:p>
        </w:tc>
        <w:tc>
          <w:tcPr>
            <w:tcW w:type="dxa" w:w="188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53 nước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WHO Europe 2025 (QT24)</w:t>
            </w:r>
          </w:p>
        </w:tc>
      </w:tr>
      <w:tr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Anh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6,3% (7–16 tuổi)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NHS Digital</w:t>
            </w:r>
          </w:p>
        </w:tc>
        <w:tc>
          <w:tcPr>
            <w:tcW w:type="dxa" w:w="188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Quốc gia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UK NHS 2024 (QT26)</w:t>
            </w:r>
          </w:p>
        </w:tc>
      </w:tr>
      <w:tr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Na Uy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Tăng 13 năm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HSCL-6</w:t>
            </w:r>
          </w:p>
        </w:tc>
        <w:tc>
          <w:tcPr>
            <w:tcW w:type="dxa" w:w="188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979.043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Brunborg et al. 2025 — Norway (QT21)</w:t>
            </w:r>
          </w:p>
        </w:tc>
      </w:tr>
      <w:tr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Ireland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Tăng 2012→2019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DASS-21</w:t>
            </w:r>
          </w:p>
        </w:tc>
        <w:tc>
          <w:tcPr>
            <w:tcW w:type="dxa" w:w="188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11.954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Fitzgerald et al. 2024 — Ireland (QT32)</w:t>
            </w:r>
          </w:p>
        </w:tc>
      </w:tr>
      <w:tr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Hàn Quốc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Giảm→Tăng (COVID)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KYRBS</w:t>
            </w:r>
          </w:p>
        </w:tc>
        <w:tc>
          <w:tcPr>
            <w:tcW w:type="dxa" w:w="188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Quốc gia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Cho et al. 2024 — Korea (QT34)</w:t>
            </w:r>
          </w:p>
        </w:tc>
      </w:tr>
      <w:tr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Úc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K10 cao: 30,7%→40,7%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K10 + MHC-SF</w:t>
            </w:r>
          </w:p>
        </w:tc>
        <w:tc>
          <w:tcPr>
            <w:tcW w:type="dxa" w:w="188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5.656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EpiPsychSci 2025 (QT25)</w:t>
            </w:r>
          </w:p>
        </w:tc>
      </w:tr>
      <w:tr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Toàn cầu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AAPC 0,84%/năm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GBD 2021</w:t>
            </w:r>
          </w:p>
        </w:tc>
        <w:tc>
          <w:tcPr>
            <w:tcW w:type="dxa" w:w="188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204 nước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Zhang et al. 2025 — Zhang 2025 — GBD (QT30)</w:t>
            </w:r>
          </w:p>
        </w:tc>
      </w:tr>
      <w:tr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59 nước LMIC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Phổ biến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GSHS</w:t>
            </w:r>
          </w:p>
        </w:tc>
        <w:tc>
          <w:tcPr>
            <w:tcW w:type="dxa" w:w="188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179.937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59 Countries 2025 (QT31)</w:t>
            </w:r>
          </w:p>
        </w:tc>
      </w:tr>
    </w:tbl>
    <w:p>
      <w:r>
        <w:rPr>
          <w:rFonts w:ascii="Times New Roman" w:hAnsi="Times New Roman"/>
          <w:b/>
          <w:i w:val="0"/>
          <w:sz w:val="24"/>
        </w:rPr>
        <w:t>Phân tích:</w:t>
      </w:r>
    </w:p>
    <w:p>
      <w:r>
        <w:rPr>
          <w:rFonts w:ascii="Times New Roman" w:hAnsi="Times New Roman"/>
          <w:b w:val="0"/>
          <w:i w:val="0"/>
          <w:sz w:val="24"/>
        </w:rPr>
        <w:t>a) Tỷ lệ dao động từ 2,3% (chẩn đoán DISC-5) đến 86,2% (sàng lọc DASS-21) — khoảng cách gấp 37 lần. Nguyên nhân CHÍNH: khác biệt công cụ đo, KHÔNG phải khác biệt lo âu thực sự.</w:t>
      </w:r>
    </w:p>
    <w:p>
      <w:r>
        <w:rPr>
          <w:rFonts w:ascii="Times New Roman" w:hAnsi="Times New Roman"/>
          <w:b w:val="0"/>
          <w:i w:val="0"/>
          <w:sz w:val="24"/>
        </w:rPr>
        <w:t>b) DASS-Y (VTN riêng) cho tỷ lệ 25,1% — THẤP HƠN đáng kể so với DASS-21 (40–86%). Gợi ý: DASS-21 người lớn có thể ĐÁNH GIÁ QUÁ MỨC lo âu ở VTN do ngưỡng không phù hợp.</w:t>
      </w:r>
    </w:p>
    <w:p>
      <w:r>
        <w:rPr>
          <w:rFonts w:ascii="Times New Roman" w:hAnsi="Times New Roman"/>
          <w:b w:val="0"/>
          <w:i w:val="0"/>
          <w:sz w:val="24"/>
        </w:rPr>
        <w:t>c) Lo âu XÃ HỘI (SIAS): 30,7% VTN VN — loại lo âu riêng, không đo bởi GAD-7/DASS-21. 1/6 có SAD nhưng không biết ("lo âu ẩn").</w:t>
      </w:r>
    </w:p>
    <w:p>
      <w:pPr>
        <w:pStyle w:val="Heading2"/>
      </w:pPr>
      <w:r>
        <w:rPr>
          <w:rFonts w:ascii="Times New Roman" w:hAnsi="Times New Roman"/>
          <w:color w:val="000000"/>
        </w:rPr>
        <w:t>2. Xu hướng lo âu VTN toàn cầu — Bằng chứng mạnh</w:t>
      </w:r>
    </w:p>
    <w:p>
      <w:pPr>
        <w:pStyle w:val="Heading3"/>
      </w:pPr>
      <w:r>
        <w:rPr>
          <w:rFonts w:ascii="Times New Roman" w:hAnsi="Times New Roman"/>
          <w:color w:val="000000"/>
        </w:rPr>
        <w:t>Bảng 2. Xu hướng lo âu VTN — 7 NC dài hạn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tcW w:w="1701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Nước/Vùng</w:t>
            </w:r>
          </w:p>
        </w:tc>
        <w:tc>
          <w:tcPr>
            <w:tcW w:type="dxa" w:w="1881"/>
            <w:tcW w:w="1701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Giai đoạn</w:t>
            </w:r>
          </w:p>
        </w:tc>
        <w:tc>
          <w:tcPr>
            <w:tcW w:type="dxa" w:w="1881"/>
            <w:tcW w:w="1984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Xu hướng</w:t>
            </w:r>
          </w:p>
        </w:tc>
        <w:tc>
          <w:tcPr>
            <w:tcW w:type="dxa" w:w="1881"/>
            <w:tcW w:w="1701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Nguồn</w:t>
            </w:r>
          </w:p>
        </w:tc>
        <w:tc>
          <w:tcPr>
            <w:tcW w:type="dxa" w:w="1881"/>
            <w:tcW w:w="1701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Đặc thù</w:t>
            </w:r>
          </w:p>
        </w:tc>
      </w:tr>
      <w:tr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Toàn cầu (204 nước)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1990–2021 (31 năm)</w:t>
            </w:r>
          </w:p>
        </w:tc>
        <w:tc>
          <w:tcPr>
            <w:tcW w:type="dxa" w:w="188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AAPC 0,84%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Zhang et al. 2025 — Zhang 2025 — GBD (QT30)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Tăng tốc từ 2014</w:t>
            </w:r>
          </w:p>
        </w:tc>
      </w:tr>
      <w:tr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Hoa Kỳ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2013–2021 (8 năm)</w:t>
            </w:r>
          </w:p>
        </w:tc>
        <w:tc>
          <w:tcPr>
            <w:tcW w:type="dxa" w:w="188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Lo âu TĂNG GẤP ĐÔI (AOR=2,17)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Mojtabai &amp; Olfson 2024 — JAACAP (QT23)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Chẩn đoán lâm sàng</w:t>
            </w:r>
          </w:p>
        </w:tc>
      </w:tr>
      <w:tr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Na Uy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2011–2024 (13 năm)</w:t>
            </w:r>
          </w:p>
        </w:tc>
        <w:tc>
          <w:tcPr>
            <w:tcW w:type="dxa" w:w="188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Tăng liên tục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Brunborg et al. 2025 — Norway (QT21)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Trường + MXH giải thích</w:t>
            </w:r>
          </w:p>
        </w:tc>
      </w:tr>
      <w:tr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Hàn Quốc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2006–2022 (16 năm)</w:t>
            </w:r>
          </w:p>
        </w:tc>
        <w:tc>
          <w:tcPr>
            <w:tcW w:type="dxa" w:w="188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Giảm trước COVID → Tăng sau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Cho et al. 2024 — Korea (QT34)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ĐẢO CHIỀU — duy nhất</w:t>
            </w:r>
          </w:p>
        </w:tc>
      </w:tr>
      <w:tr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Ireland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2012–2019 (7 năm)</w:t>
            </w:r>
          </w:p>
        </w:tc>
        <w:tc>
          <w:tcPr>
            <w:tcW w:type="dxa" w:w="188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Tăng, nữ nhanh hơn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Fitzgerald et al. 2024 — Ireland (QT32)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Trước COVID</w:t>
            </w:r>
          </w:p>
        </w:tc>
      </w:tr>
      <w:tr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Úc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2018–2022 (4 năm)</w:t>
            </w:r>
          </w:p>
        </w:tc>
        <w:tc>
          <w:tcPr>
            <w:tcW w:type="dxa" w:w="188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Flourishing giảm 53%→44%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EpiPsychSci 2025 (QT25)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CMH toàn diện</w:t>
            </w:r>
          </w:p>
        </w:tc>
      </w:tr>
      <w:tr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Anh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2017–2023</w:t>
            </w:r>
          </w:p>
        </w:tc>
        <w:tc>
          <w:tcPr>
            <w:tcW w:type="dxa" w:w="188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Lo âu 3,5%→6,3% (gấp đôi)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UK NHS 2024 (QT26)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Trẻ 7–16 tuổi</w:t>
            </w:r>
          </w:p>
        </w:tc>
      </w:tr>
    </w:tbl>
    <w:p>
      <w:r>
        <w:rPr>
          <w:rFonts w:ascii="Times New Roman" w:hAnsi="Times New Roman"/>
          <w:b/>
          <w:i w:val="0"/>
          <w:sz w:val="24"/>
        </w:rPr>
        <w:t>Kết luận: Bằng chứng NHẤT QUÁN từ 7 NC dài hạn — lo âu VTN TĂNG trên toàn cầu. Hàn Quốc là ngoại lệ duy nhất (cải thiện trước COVID rồi xấu đi). VN THIẾU dữ liệu xu hướng dài hạn — GAP cấp thiết.</w:t>
      </w:r>
    </w:p>
    <w:p>
      <w:pPr>
        <w:pStyle w:val="Heading2"/>
      </w:pPr>
      <w:r>
        <w:rPr>
          <w:rFonts w:ascii="Times New Roman" w:hAnsi="Times New Roman"/>
          <w:color w:val="000000"/>
        </w:rPr>
        <w:t>3. Nguyên nhân xu hướng tăng — Bằng chứng liên bài</w:t>
      </w:r>
    </w:p>
    <w:p>
      <w:pPr>
        <w:pStyle w:val="Heading3"/>
      </w:pPr>
      <w:r>
        <w:rPr>
          <w:rFonts w:ascii="Times New Roman" w:hAnsi="Times New Roman"/>
          <w:color w:val="000000"/>
        </w:rPr>
        <w:t>Bảng 3. Yếu tố giải thích xu hướng tăng lo âu VTN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tcW w:w="1984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Yếu tố</w:t>
            </w:r>
          </w:p>
        </w:tc>
        <w:tc>
          <w:tcPr>
            <w:tcW w:type="dxa" w:w="2351"/>
            <w:tcW w:w="2835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Bằng chứng</w:t>
            </w:r>
          </w:p>
        </w:tc>
        <w:tc>
          <w:tcPr>
            <w:tcW w:type="dxa" w:w="2351"/>
            <w:tcW w:w="1701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Nguồn</w:t>
            </w:r>
          </w:p>
        </w:tc>
        <w:tc>
          <w:tcPr>
            <w:tcW w:type="dxa" w:w="2351"/>
            <w:tcW w:w="1134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Mức độ</w:t>
            </w:r>
          </w:p>
        </w:tc>
      </w:tr>
      <w:tr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Bất mãn trường học</w:t>
            </w:r>
          </w:p>
        </w:tc>
        <w:tc>
          <w:tcPr>
            <w:tcW w:type="dxa" w:w="2351"/>
            <w:tcW w:w="2835" w:type="dxa"/>
          </w:tcPr>
          <w:p>
            <w:r>
              <w:rPr>
                <w:rFonts w:ascii="Times New Roman" w:hAnsi="Times New Roman"/>
                <w:sz w:val="20"/>
              </w:rPr>
              <w:t>Giải thích CHÍNH (decomposition loại bỏ xu hướng)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Brunborg et al. 2025 — Norway (QT21)</w:t>
            </w:r>
          </w:p>
        </w:tc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★★★★★</w:t>
            </w:r>
          </w:p>
        </w:tc>
      </w:tr>
      <w:tr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Mạng xã hội (thời gian)</w:t>
            </w:r>
          </w:p>
        </w:tc>
        <w:tc>
          <w:tcPr>
            <w:tcW w:type="dxa" w:w="2351"/>
            <w:tcW w:w="2835" w:type="dxa"/>
          </w:tcPr>
          <w:p>
            <w:r>
              <w:rPr>
                <w:rFonts w:ascii="Times New Roman" w:hAnsi="Times New Roman"/>
                <w:sz w:val="20"/>
              </w:rPr>
              <w:t>VTN SKTT dùng nhiều hơn (g=0,46); giải thích một phần xu hướng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Fassi et al. 2025 — Nature (QT27); Brunborg et al. 2025 — Norway (QT21)</w:t>
            </w:r>
          </w:p>
        </w:tc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★★★★</w:t>
            </w:r>
          </w:p>
        </w:tc>
      </w:tr>
      <w:tr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Mạng xã hội (tác động)</w:t>
            </w:r>
          </w:p>
        </w:tc>
        <w:tc>
          <w:tcPr>
            <w:tcW w:type="dxa" w:w="2351"/>
            <w:tcW w:w="2835" w:type="dxa"/>
          </w:tcPr>
          <w:p>
            <w:r>
              <w:rPr>
                <w:rFonts w:ascii="Times New Roman" w:hAnsi="Times New Roman"/>
                <w:sz w:val="20"/>
              </w:rPr>
              <w:t>Cắt ngang mạnh, DỌC YẾU; RCT giảm ST→cải thiện SKTT (d=0,53)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Li 2025 (QT22); Schmidt-Persson et al. 2024 — JAMA (QT33)</w:t>
            </w:r>
          </w:p>
        </w:tc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★★★</w:t>
            </w:r>
          </w:p>
        </w:tc>
      </w:tr>
      <w:tr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Áp lực học tập</w:t>
            </w:r>
          </w:p>
        </w:tc>
        <w:tc>
          <w:tcPr>
            <w:tcW w:type="dxa" w:w="2351"/>
            <w:tcW w:w="2835" w:type="dxa"/>
          </w:tcPr>
          <w:p>
            <w:r>
              <w:rPr>
                <w:rFonts w:ascii="Times New Roman" w:hAnsi="Times New Roman"/>
                <w:sz w:val="20"/>
              </w:rPr>
              <w:t>ESSA ≥59 → tăng lo âu; OR = 11,58 (áp lực→lo âu)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Vĩnh Lộc 2024 (VN20); Wen 2020</w:t>
            </w:r>
          </w:p>
        </w:tc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★★★★</w:t>
            </w:r>
          </w:p>
        </w:tc>
      </w:tr>
      <w:tr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Cấu trúc gia đình</w:t>
            </w:r>
          </w:p>
        </w:tc>
        <w:tc>
          <w:tcPr>
            <w:tcW w:type="dxa" w:w="2351"/>
            <w:tcW w:w="2835" w:type="dxa"/>
          </w:tcPr>
          <w:p>
            <w:r>
              <w:rPr>
                <w:rFonts w:ascii="Times New Roman" w:hAnsi="Times New Roman"/>
                <w:sz w:val="20"/>
              </w:rPr>
              <w:t>Ly hôn, bỏ mặc, ACEs → tăng lo âu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VN20; Ngô Anh Vinh (VN15); Qiu 2022</w:t>
            </w:r>
          </w:p>
        </w:tc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★★★★</w:t>
            </w:r>
          </w:p>
        </w:tc>
      </w:tr>
      <w:tr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Bất an thực phẩm</w:t>
            </w:r>
          </w:p>
        </w:tc>
        <w:tc>
          <w:tcPr>
            <w:tcW w:type="dxa" w:w="2351"/>
            <w:tcW w:w="2835" w:type="dxa"/>
          </w:tcPr>
          <w:p>
            <w:r>
              <w:rPr>
                <w:rFonts w:ascii="Times New Roman" w:hAnsi="Times New Roman"/>
                <w:sz w:val="20"/>
              </w:rPr>
              <w:t>AOR=2,22 (Islam et al. 2025, 59 nước)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59 Countries (QT31)</w:t>
            </w:r>
          </w:p>
        </w:tc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★★★</w:t>
            </w:r>
          </w:p>
        </w:tc>
      </w:tr>
      <w:tr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Bắt nạt</w:t>
            </w:r>
          </w:p>
        </w:tc>
        <w:tc>
          <w:tcPr>
            <w:tcW w:type="dxa" w:w="2351"/>
            <w:tcW w:w="2835" w:type="dxa"/>
          </w:tcPr>
          <w:p>
            <w:r>
              <w:rPr>
                <w:rFonts w:ascii="Times New Roman" w:hAnsi="Times New Roman"/>
                <w:sz w:val="20"/>
              </w:rPr>
              <w:t>AOR=1,68 (59 nước)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QT31; Nakie 2022</w:t>
            </w:r>
          </w:p>
        </w:tc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★★★</w:t>
            </w:r>
          </w:p>
        </w:tc>
      </w:tr>
      <w:tr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Giấc ngủ</w:t>
            </w:r>
          </w:p>
        </w:tc>
        <w:tc>
          <w:tcPr>
            <w:tcW w:type="dxa" w:w="2351"/>
            <w:tcW w:w="2835" w:type="dxa"/>
          </w:tcPr>
          <w:p>
            <w:r>
              <w:rPr>
                <w:rFonts w:ascii="Times New Roman" w:hAnsi="Times New Roman"/>
                <w:sz w:val="20"/>
              </w:rPr>
              <w:t>AOR=13,71 (&lt;5h → trầm cảm chắc chắn)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Zhu 2025</w:t>
            </w:r>
          </w:p>
        </w:tc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★★★★</w:t>
            </w:r>
          </w:p>
        </w:tc>
      </w:tr>
      <w:tr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COVID-19</w:t>
            </w:r>
          </w:p>
        </w:tc>
        <w:tc>
          <w:tcPr>
            <w:tcW w:type="dxa" w:w="2351"/>
            <w:tcW w:w="2835" w:type="dxa"/>
          </w:tcPr>
          <w:p>
            <w:r>
              <w:rPr>
                <w:rFonts w:ascii="Times New Roman" w:hAnsi="Times New Roman"/>
                <w:sz w:val="20"/>
              </w:rPr>
              <w:t>Đảo chiều Hàn Quốc; tăng tốc GBD từ 2019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Cho et al. 2024 — Korea (QT34); Zhang 2025 — GBD (QT30)</w:t>
            </w:r>
          </w:p>
        </w:tc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★★★</w:t>
            </w:r>
          </w:p>
        </w:tc>
      </w:tr>
      <w:tr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Bất bình đẳng thu nhập</w:t>
            </w:r>
          </w:p>
        </w:tc>
        <w:tc>
          <w:tcPr>
            <w:tcW w:type="dxa" w:w="2351"/>
            <w:tcW w:w="2835" w:type="dxa"/>
          </w:tcPr>
          <w:p>
            <w:r>
              <w:rPr>
                <w:rFonts w:ascii="Times New Roman" w:hAnsi="Times New Roman"/>
                <w:sz w:val="20"/>
              </w:rPr>
              <w:t>Stress nghèo 62,77% vs giàu 40,07% (chênh 22,7)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Cho et al. 2024 — Korea (QT34)</w:t>
            </w:r>
          </w:p>
        </w:tc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★★★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Cha mẹ kiểm tra bài (BẢO VỆ)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AOR = 0,75 (giảm 25% nguy cơ lo âu)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Islam et al. 2025 — 59 Countries (QT31)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★★★★</w:t>
            </w:r>
          </w:p>
        </w:tc>
      </w:tr>
    </w:tbl>
    <w:p>
      <w:pPr>
        <w:pStyle w:val="Heading2"/>
      </w:pPr>
      <w:r>
        <w:rPr>
          <w:rFonts w:ascii="Times New Roman" w:hAnsi="Times New Roman"/>
          <w:color w:val="000000"/>
        </w:rPr>
        <w:t>4. Giới tính — Nhất quán xuyên suốt (trừ lo âu XH)</w:t>
      </w:r>
    </w:p>
    <w:p>
      <w:pPr>
        <w:pStyle w:val="Heading3"/>
      </w:pPr>
      <w:r>
        <w:rPr>
          <w:rFonts w:ascii="Times New Roman" w:hAnsi="Times New Roman"/>
          <w:color w:val="000000"/>
        </w:rPr>
        <w:t>Bảng 4. Khác biệt giới tính trong lo âu VTN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tcW w:w="1701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Nghiên cứu</w:t>
            </w:r>
          </w:p>
        </w:tc>
        <w:tc>
          <w:tcPr>
            <w:tcW w:type="dxa" w:w="1881"/>
            <w:tcW w:w="1417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Nữ</w:t>
            </w:r>
          </w:p>
        </w:tc>
        <w:tc>
          <w:tcPr>
            <w:tcW w:type="dxa" w:w="1881"/>
            <w:tcW w:w="1417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Nam</w:t>
            </w:r>
          </w:p>
        </w:tc>
        <w:tc>
          <w:tcPr>
            <w:tcW w:type="dxa" w:w="1881"/>
            <w:tcW w:w="1417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Chỉ số</w:t>
            </w:r>
          </w:p>
        </w:tc>
        <w:tc>
          <w:tcPr>
            <w:tcW w:type="dxa" w:w="1881"/>
            <w:tcW w:w="1984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Ghi chú</w:t>
            </w:r>
          </w:p>
        </w:tc>
      </w:tr>
      <w:tr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Hoa 2024 (VN)</w:t>
            </w:r>
          </w:p>
        </w:tc>
        <w:tc>
          <w:tcPr>
            <w:tcW w:type="dxa" w:w="188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M=1,74</w:t>
            </w:r>
          </w:p>
        </w:tc>
        <w:tc>
          <w:tcPr>
            <w:tcW w:type="dxa" w:w="188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M=1,50</w:t>
            </w:r>
          </w:p>
        </w:tc>
        <w:tc>
          <w:tcPr>
            <w:tcW w:type="dxa" w:w="188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p&lt;0,01</w:t>
            </w:r>
          </w:p>
        </w:tc>
        <w:tc>
          <w:tcPr>
            <w:tcW w:type="dxa" w:w="188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Nữ cao hơn 16%</w:t>
            </w:r>
          </w:p>
        </w:tc>
      </w:tr>
      <w:tr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Vĩnh Lộc 2024 (VN)</w:t>
            </w:r>
          </w:p>
        </w:tc>
        <w:tc>
          <w:tcPr>
            <w:tcW w:type="dxa" w:w="188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Cao hơn</w:t>
            </w:r>
          </w:p>
        </w:tc>
        <w:tc>
          <w:tcPr>
            <w:tcW w:type="dxa" w:w="188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Thấp hơn</w:t>
            </w:r>
          </w:p>
        </w:tc>
        <w:tc>
          <w:tcPr>
            <w:tcW w:type="dxa" w:w="188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p&lt;0,05</w:t>
            </w:r>
          </w:p>
        </w:tc>
        <w:tc>
          <w:tcPr>
            <w:tcW w:type="dxa" w:w="188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Cả 3 chỉ số DAS</w:t>
            </w:r>
          </w:p>
        </w:tc>
      </w:tr>
      <w:tr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JAACAP 2024 (Mỹ)</w:t>
            </w:r>
          </w:p>
        </w:tc>
        <w:tc>
          <w:tcPr>
            <w:tcW w:type="dxa" w:w="188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22,3%</w:t>
            </w:r>
          </w:p>
        </w:tc>
        <w:tc>
          <w:tcPr>
            <w:tcW w:type="dxa" w:w="188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16,5%</w:t>
            </w:r>
          </w:p>
        </w:tc>
        <w:tc>
          <w:tcPr>
            <w:tcW w:type="dxa" w:w="188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AOR=2,24 vs 2,14</w:t>
            </w:r>
          </w:p>
        </w:tc>
        <w:tc>
          <w:tcPr>
            <w:tcW w:type="dxa" w:w="188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Nữ rõ rệt hơn</w:t>
            </w:r>
          </w:p>
        </w:tc>
      </w:tr>
      <w:tr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Ireland 2024</w:t>
            </w:r>
          </w:p>
        </w:tc>
        <w:tc>
          <w:tcPr>
            <w:tcW w:type="dxa" w:w="188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Tăng nhanh hơn</w:t>
            </w:r>
          </w:p>
        </w:tc>
        <w:tc>
          <w:tcPr>
            <w:tcW w:type="dxa" w:w="188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88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p&lt;0,01</w:t>
            </w:r>
          </w:p>
        </w:tc>
        <w:tc>
          <w:tcPr>
            <w:tcW w:type="dxa" w:w="188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Khoảng cách MỞ RỘNG</w:t>
            </w:r>
          </w:p>
        </w:tc>
      </w:tr>
      <w:tr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Úc 2025 (CMH)</w:t>
            </w:r>
          </w:p>
        </w:tc>
        <w:tc>
          <w:tcPr>
            <w:tcW w:type="dxa" w:w="188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Flourishing 36,3%</w:t>
            </w:r>
          </w:p>
        </w:tc>
        <w:tc>
          <w:tcPr>
            <w:tcW w:type="dxa" w:w="188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52,2%</w:t>
            </w:r>
          </w:p>
        </w:tc>
        <w:tc>
          <w:tcPr>
            <w:tcW w:type="dxa" w:w="188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15,9 điểm chênh</w:t>
            </w:r>
          </w:p>
        </w:tc>
        <w:tc>
          <w:tcPr>
            <w:tcW w:type="dxa" w:w="188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Nữ xấu hơn nhiều</w:t>
            </w:r>
          </w:p>
        </w:tc>
      </w:tr>
      <w:tr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59 Countries</w:t>
            </w:r>
          </w:p>
        </w:tc>
        <w:tc>
          <w:tcPr>
            <w:tcW w:type="dxa" w:w="188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AOR=1,51</w:t>
            </w:r>
          </w:p>
        </w:tc>
        <w:tc>
          <w:tcPr>
            <w:tcW w:type="dxa" w:w="188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Reference</w:t>
            </w:r>
          </w:p>
        </w:tc>
        <w:tc>
          <w:tcPr>
            <w:tcW w:type="dxa" w:w="188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p&lt;0,001</w:t>
            </w:r>
          </w:p>
        </w:tc>
        <w:tc>
          <w:tcPr>
            <w:tcW w:type="dxa" w:w="188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Islam 2025 (QT31): Nhất quán 59 nước, AOR=1,51</w:t>
            </w:r>
          </w:p>
        </w:tc>
      </w:tr>
      <w:tr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Lo âu XH 7 nước</w:t>
            </w:r>
          </w:p>
        </w:tc>
        <w:tc>
          <w:tcPr>
            <w:tcW w:type="dxa" w:w="188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36,5%</w:t>
            </w:r>
          </w:p>
        </w:tc>
        <w:tc>
          <w:tcPr>
            <w:tcW w:type="dxa" w:w="188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35,6%</w:t>
            </w:r>
          </w:p>
        </w:tc>
        <w:tc>
          <w:tcPr>
            <w:tcW w:type="dxa" w:w="188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n.s.</w:t>
            </w:r>
          </w:p>
        </w:tc>
        <w:tc>
          <w:tcPr>
            <w:tcW w:type="dxa" w:w="188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KHÔNG khác biệt — ngoại lệ</w:t>
            </w:r>
          </w:p>
        </w:tc>
      </w:tr>
    </w:tbl>
    <w:p>
      <w:r>
        <w:rPr>
          <w:rFonts w:ascii="Times New Roman" w:hAnsi="Times New Roman"/>
          <w:b w:val="0"/>
          <w:i w:val="0"/>
          <w:sz w:val="24"/>
        </w:rPr>
        <w:t>Nữ &gt; nam NHẤT QUÁN trong lo âu tổng quát — nhưng lo âu XÃ HỘI không khác biệt giới. Gợi ý: lo âu XH ảnh hưởng nam=nữ, khác cơ chế với GAD.</w:t>
      </w:r>
    </w:p>
    <w:p>
      <w:pPr>
        <w:pStyle w:val="Heading2"/>
      </w:pPr>
      <w:r>
        <w:rPr>
          <w:rFonts w:ascii="Times New Roman" w:hAnsi="Times New Roman"/>
          <w:color w:val="000000"/>
        </w:rPr>
        <w:t>5. Can thiệp — Bằng chứng từ 5 NC</w:t>
      </w:r>
    </w:p>
    <w:p>
      <w:pPr>
        <w:pStyle w:val="Heading3"/>
      </w:pPr>
      <w:r>
        <w:rPr>
          <w:rFonts w:ascii="Times New Roman" w:hAnsi="Times New Roman"/>
          <w:color w:val="000000"/>
        </w:rPr>
        <w:t>Bảng 5. Hiệu quả can thiệp cho lo âu VTN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tcW w:w="2268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Can thiệp</w:t>
            </w:r>
          </w:p>
        </w:tc>
        <w:tc>
          <w:tcPr>
            <w:tcW w:type="dxa" w:w="2351"/>
            <w:tcW w:w="1984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Hiệu quả</w:t>
            </w:r>
          </w:p>
        </w:tc>
        <w:tc>
          <w:tcPr>
            <w:tcW w:type="dxa" w:w="2351"/>
            <w:tcW w:w="1701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Nguồn</w:t>
            </w:r>
          </w:p>
        </w:tc>
        <w:tc>
          <w:tcPr>
            <w:tcW w:type="dxa" w:w="2351"/>
            <w:tcW w:w="1701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Áp dụng VN</w:t>
            </w:r>
          </w:p>
        </w:tc>
      </w:tr>
      <w:tr>
        <w:tc>
          <w:tcPr>
            <w:tcW w:type="dxa" w:w="235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CBT + SSRI (kết hợp)</w:t>
            </w:r>
          </w:p>
        </w:tc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80,7% đáp ứng (CAMS — Walkup 2008 NEJM; tổng quan QT28)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AJP 2024 Zugman QT28 + Walkup 2008 NEJM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Thiếu chuyên gia VN</w:t>
            </w:r>
          </w:p>
        </w:tc>
      </w:tr>
      <w:tr>
        <w:tc>
          <w:tcPr>
            <w:tcW w:type="dxa" w:w="235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CBT đơn</w:t>
            </w:r>
          </w:p>
        </w:tc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59,7% đáp ứng; NNT ≈ 3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AJP 2024 Zugman QT28 + Walkup 2008 NEJM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CBT nhóm khả thi</w:t>
            </w:r>
          </w:p>
        </w:tc>
      </w:tr>
      <w:tr>
        <w:tc>
          <w:tcPr>
            <w:tcW w:type="dxa" w:w="235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ACT (Chấp nhận &amp; Cam kết)</w:t>
            </w:r>
          </w:p>
        </w:tc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SUCRA 0,69 — hạng 1 NMA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Li et al. 2025 — BMC NMA (QT29): CBT SUCRA 0,66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Mới ở VN</w:t>
            </w:r>
          </w:p>
        </w:tc>
      </w:tr>
      <w:tr>
        <w:tc>
          <w:tcPr>
            <w:tcW w:type="dxa" w:w="235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Hoạt động thể chất</w:t>
            </w:r>
          </w:p>
        </w:tc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Hiệu quả (SUCRA 0,51)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Li et al. 2025 — BMC NMA (QT29): CBT SUCRA 0,66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DỄ triển khai tại trường</w:t>
            </w:r>
          </w:p>
        </w:tc>
      </w:tr>
      <w:tr>
        <w:tc>
          <w:tcPr>
            <w:tcW w:type="dxa" w:w="235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VRET (Thực tế ảo)</w:t>
            </w:r>
          </w:p>
        </w:tc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Hiệu quả (SUCRA 0,51)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Li et al. 2025 — BMC NMA (QT29): CBT SUCRA 0,66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Cần công nghệ</w:t>
            </w:r>
          </w:p>
        </w:tc>
      </w:tr>
      <w:tr>
        <w:tc>
          <w:tcPr>
            <w:tcW w:type="dxa" w:w="235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Giảm screen time (RCT)</w:t>
            </w:r>
          </w:p>
        </w:tc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Cohen d = 0,53; nội hóa cải thiện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Schmidt-Persson et al. 2024 — JAMA (QT33)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Can thiệp gia đình</w:t>
            </w:r>
          </w:p>
        </w:tc>
      </w:tr>
      <w:tr>
        <w:tc>
          <w:tcPr>
            <w:tcW w:type="dxa" w:w="235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Trường học LMIC</w:t>
            </w:r>
          </w:p>
        </w:tc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3/4 hiệu quả trầm cảm; 1/4 lo âu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Zhameden 2025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CHƯA CÓ RCT VN</w:t>
            </w:r>
          </w:p>
        </w:tc>
      </w:tr>
      <w:tr>
        <w:tc>
          <w:tcPr>
            <w:tcW w:type="dxa" w:w="235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Hỗ trợ SKTT trường</w:t>
            </w:r>
          </w:p>
        </w:tc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OR = 0,562 (bảo vệ)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Wen 2020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Phù hợp VN</w:t>
            </w:r>
          </w:p>
        </w:tc>
      </w:tr>
      <w:tr>
        <w:tc>
          <w:tcPr>
            <w:tcW w:type="dxa" w:w="235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Tăng lạc quan (positive psych)</w:t>
            </w:r>
          </w:p>
        </w:tc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β gián tiếp = −0,24 qua lo âu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Thảo Vi 2025 (VN19)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Khả thi</w:t>
            </w:r>
          </w:p>
        </w:tc>
      </w:tr>
    </w:tbl>
    <w:p>
      <w:pPr>
        <w:pStyle w:val="Heading2"/>
      </w:pPr>
      <w:r>
        <w:rPr>
          <w:rFonts w:ascii="Times New Roman" w:hAnsi="Times New Roman"/>
          <w:color w:val="000000"/>
        </w:rPr>
        <w:t>6. Screen time &amp; MXH — Tổng hợp 5 NC</w:t>
      </w:r>
    </w:p>
    <w:p>
      <w:pPr>
        <w:pStyle w:val="Heading3"/>
      </w:pPr>
      <w:r>
        <w:rPr>
          <w:rFonts w:ascii="Times New Roman" w:hAnsi="Times New Roman"/>
          <w:color w:val="000000"/>
        </w:rPr>
        <w:t>Bảng 6. Bằng chứng screen time → SKTT VTN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tcW w:w="1701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Nghiên cứu</w:t>
            </w:r>
          </w:p>
        </w:tc>
        <w:tc>
          <w:tcPr>
            <w:tcW w:type="dxa" w:w="2351"/>
            <w:tcW w:w="1417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Thiết kế</w:t>
            </w:r>
          </w:p>
        </w:tc>
        <w:tc>
          <w:tcPr>
            <w:tcW w:type="dxa" w:w="2351"/>
            <w:tcW w:w="2551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Phát hiện</w:t>
            </w:r>
          </w:p>
        </w:tc>
        <w:tc>
          <w:tcPr>
            <w:tcW w:type="dxa" w:w="2351"/>
            <w:tcW w:w="1701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Kết luận</w:t>
            </w:r>
          </w:p>
        </w:tc>
      </w:tr>
      <w:tr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Brunborg et al. 2025 — Norway (QT21)</w:t>
            </w:r>
          </w:p>
        </w:tc>
        <w:tc>
          <w:tcPr>
            <w:tcW w:type="dxa" w:w="235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Decomposition 13 năm</w:t>
            </w:r>
          </w:p>
        </w:tc>
        <w:tc>
          <w:tcPr>
            <w:tcW w:type="dxa" w:w="2351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MXH giải thích MỘT PHẦN xu hướng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Đóng góp, không chính</w:t>
            </w:r>
          </w:p>
        </w:tc>
      </w:tr>
      <w:tr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Li 2025 (QT22)</w:t>
            </w:r>
          </w:p>
        </w:tc>
        <w:tc>
          <w:tcPr>
            <w:tcW w:type="dxa" w:w="235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Dọc 12 tháng</w:t>
            </w:r>
          </w:p>
        </w:tc>
        <w:tc>
          <w:tcPr>
            <w:tcW w:type="dxa" w:w="2351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Cắt ngang mạnh, DỌC YẾU (lo âu: p=0,443)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Quan hệ HAI CHIỀU?</w:t>
            </w:r>
          </w:p>
        </w:tc>
      </w:tr>
      <w:tr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Fassi et al. 2025 — Nature (QT27)</w:t>
            </w:r>
          </w:p>
        </w:tc>
        <w:tc>
          <w:tcPr>
            <w:tcW w:type="dxa" w:w="235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Cắt ngang + chẩn đoán</w:t>
            </w:r>
          </w:p>
        </w:tc>
        <w:tc>
          <w:tcPr>
            <w:tcW w:type="dxa" w:w="2351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VTN SKTT dùng MXH nhiều hơn (g=0,46)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Nội hóa &gt; ngoại hóa</w:t>
            </w:r>
          </w:p>
        </w:tc>
      </w:tr>
      <w:tr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Schmidt-Persson et al. 2024 — JAMA (QT33)</w:t>
            </w:r>
          </w:p>
        </w:tc>
        <w:tc>
          <w:tcPr>
            <w:tcW w:type="dxa" w:w="235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RCT 2 tuần</w:t>
            </w:r>
          </w:p>
        </w:tc>
        <w:tc>
          <w:tcPr>
            <w:tcW w:type="dxa" w:w="2351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Giảm ST → cải thiện SKTT (d=0,53)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NHÂN QUẢ — hiếm</w:t>
            </w:r>
          </w:p>
        </w:tc>
      </w:tr>
      <w:tr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Hoàng Trung Học (VN14)</w:t>
            </w:r>
          </w:p>
        </w:tc>
        <w:tc>
          <w:tcPr>
            <w:tcW w:type="dxa" w:w="235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Cắt ngang VN</w:t>
            </w:r>
          </w:p>
        </w:tc>
        <w:tc>
          <w:tcPr>
            <w:tcW w:type="dxa" w:w="2351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Game điện tử Beta = 0,176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Liên quan ở VN</w:t>
            </w:r>
          </w:p>
        </w:tc>
      </w:tr>
    </w:tbl>
    <w:p>
      <w:r>
        <w:rPr>
          <w:rFonts w:ascii="Times New Roman" w:hAnsi="Times New Roman"/>
          <w:b/>
          <w:i w:val="0"/>
          <w:sz w:val="24"/>
        </w:rPr>
        <w:t>Tổng hợp: Tác động screen time/MXH lên SKTT VTN TỒN TẠI nhưng PHỨC TẠP hơn giả định. Cắt ngang mạnh, dọc yếu — gợi ý quan hệ hai chiều. RCT (JAMA) cho thấy CẦN GIẢM MẠNH (&gt;80%) mới hiệu quả. VTN nội hóa (lo âu) nhạy cảm hơn ngoại hóa.</w:t>
      </w:r>
    </w:p>
    <w:p>
      <w:pPr>
        <w:pStyle w:val="Heading2"/>
      </w:pPr>
      <w:r>
        <w:rPr>
          <w:rFonts w:ascii="Times New Roman" w:hAnsi="Times New Roman"/>
          <w:color w:val="000000"/>
        </w:rPr>
        <w:t>7. Khoảng cách dịch vụ SKTT</w:t>
      </w:r>
    </w:p>
    <w:p>
      <w:pPr>
        <w:pStyle w:val="Heading3"/>
      </w:pPr>
      <w:r>
        <w:rPr>
          <w:rFonts w:ascii="Times New Roman" w:hAnsi="Times New Roman"/>
          <w:color w:val="000000"/>
        </w:rPr>
        <w:t>Bảng 7. Tiếp cận dịch vụ SKTT — So sánh quốc tế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tcW w:w="1417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Nước</w:t>
            </w:r>
          </w:p>
        </w:tc>
        <w:tc>
          <w:tcPr>
            <w:tcW w:type="dxa" w:w="2351"/>
            <w:tcW w:w="1984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Tiếp cận dịch vụ</w:t>
            </w:r>
          </w:p>
        </w:tc>
        <w:tc>
          <w:tcPr>
            <w:tcW w:type="dxa" w:w="2351"/>
            <w:tcW w:w="1984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Chi tiêu</w:t>
            </w:r>
          </w:p>
        </w:tc>
        <w:tc>
          <w:tcPr>
            <w:tcW w:type="dxa" w:w="2351"/>
            <w:tcW w:w="1984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Nguồn</w:t>
            </w:r>
          </w:p>
        </w:tc>
      </w:tr>
      <w:tr>
        <w:tc>
          <w:tcPr>
            <w:tcW w:type="dxa" w:w="235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VN</w:t>
            </w:r>
          </w:p>
        </w:tc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8,4% VTN</w:t>
            </w:r>
          </w:p>
        </w:tc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Chưa có số liệu</w:t>
            </w:r>
          </w:p>
        </w:tc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V-NAMHS 2022</w:t>
            </w:r>
          </w:p>
        </w:tc>
      </w:tr>
      <w:tr>
        <w:tc>
          <w:tcPr>
            <w:tcW w:type="dxa" w:w="235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Anh</w:t>
            </w:r>
          </w:p>
        </w:tc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NHS phổ quát</w:t>
            </w:r>
          </w:p>
        </w:tc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£16,3 tỷ/năm (10,6% NHS)</w:t>
            </w:r>
          </w:p>
        </w:tc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UK NHS 2024 (QT26)</w:t>
            </w:r>
          </w:p>
        </w:tc>
      </w:tr>
      <w:tr>
        <w:tc>
          <w:tcPr>
            <w:tcW w:type="dxa" w:w="235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Mỹ</w:t>
            </w:r>
          </w:p>
        </w:tc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82,6% (ước tính)</w:t>
            </w:r>
          </w:p>
        </w:tc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Hệ thống phát triển</w:t>
            </w:r>
          </w:p>
        </w:tc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JAACAP 2024</w:t>
            </w:r>
          </w:p>
        </w:tc>
      </w:tr>
      <w:tr>
        <w:tc>
          <w:tcPr>
            <w:tcW w:type="dxa" w:w="235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Philippines</w:t>
            </w:r>
          </w:p>
        </w:tc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2%</w:t>
            </w:r>
          </w:p>
        </w:tc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Rất thấp</w:t>
            </w:r>
          </w:p>
        </w:tc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Puyat 2025</w:t>
            </w:r>
          </w:p>
        </w:tc>
      </w:tr>
      <w:tr>
        <w:tc>
          <w:tcPr>
            <w:tcW w:type="dxa" w:w="235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Châu Âu</w:t>
            </w:r>
          </w:p>
        </w:tc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16/27 nước thiếu</w:t>
            </w:r>
          </w:p>
        </w:tc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Khác nhau</w:t>
            </w:r>
          </w:p>
        </w:tc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WHO Europe 2025 (QT24)</w:t>
            </w:r>
          </w:p>
        </w:tc>
      </w:tr>
      <w:tr>
        <w:tc>
          <w:tcPr>
            <w:tcW w:type="dxa" w:w="235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VN — phụ huynh</w:t>
            </w:r>
          </w:p>
        </w:tc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Chỉ 5,1% nhận ra</w:t>
            </w:r>
          </w:p>
        </w:tc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V-NAMHS 2022</w:t>
            </w:r>
          </w:p>
        </w:tc>
      </w:tr>
    </w:tbl>
    <w:p>
      <w:pPr>
        <w:pStyle w:val="Heading2"/>
      </w:pPr>
      <w:r>
        <w:rPr>
          <w:rFonts w:ascii="Times New Roman" w:hAnsi="Times New Roman"/>
          <w:color w:val="000000"/>
        </w:rPr>
        <w:t>8. Khoảng trống nghiên cứu — Ưu tiên cho Việt Nam</w:t>
      </w:r>
    </w:p>
    <w:p>
      <w:pPr>
        <w:pStyle w:val="Heading3"/>
      </w:pPr>
      <w:r>
        <w:rPr>
          <w:rFonts w:ascii="Times New Roman" w:hAnsi="Times New Roman"/>
          <w:color w:val="000000"/>
        </w:rPr>
        <w:t>Bảng 8. Top 10 khoảng trống NC — cập nhật 35 bài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tcW w:w="453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#</w:t>
            </w:r>
          </w:p>
        </w:tc>
        <w:tc>
          <w:tcPr>
            <w:tcW w:type="dxa" w:w="2351"/>
            <w:tcW w:w="2835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Khoảng trống</w:t>
            </w:r>
          </w:p>
        </w:tc>
        <w:tc>
          <w:tcPr>
            <w:tcW w:type="dxa" w:w="2351"/>
            <w:tcW w:w="3118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Bằng chứng</w:t>
            </w:r>
          </w:p>
        </w:tc>
        <w:tc>
          <w:tcPr>
            <w:tcW w:type="dxa" w:w="2351"/>
            <w:tcW w:w="1134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Ưu tiên</w:t>
            </w:r>
          </w:p>
        </w:tc>
      </w:tr>
      <w:tr>
        <w:tc>
          <w:tcPr>
            <w:tcW w:type="dxa" w:w="2351"/>
            <w:tcW w:w="453" w:type="dxa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351"/>
            <w:tcW w:w="2835" w:type="dxa"/>
          </w:tcPr>
          <w:p>
            <w:r>
              <w:rPr>
                <w:rFonts w:ascii="Times New Roman" w:hAnsi="Times New Roman"/>
                <w:sz w:val="20"/>
              </w:rPr>
              <w:t>RCT can thiệp SKTT tại trường VN</w:t>
            </w:r>
          </w:p>
        </w:tc>
        <w:tc>
          <w:tcPr>
            <w:tcW w:type="dxa" w:w="2351"/>
            <w:tcW w:w="3118" w:type="dxa"/>
          </w:tcPr>
          <w:p>
            <w:r>
              <w:rPr>
                <w:rFonts w:ascii="Times New Roman" w:hAnsi="Times New Roman"/>
                <w:sz w:val="20"/>
              </w:rPr>
              <w:t>Zhameden 2025: 0 RCT từ VN; Li 2025 BMC NMA: CBT+PE hiệu quả</w:t>
            </w:r>
          </w:p>
        </w:tc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RẤT CAO</w:t>
            </w:r>
          </w:p>
        </w:tc>
      </w:tr>
      <w:tr>
        <w:tc>
          <w:tcPr>
            <w:tcW w:type="dxa" w:w="2351"/>
            <w:tcW w:w="453" w:type="dxa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351"/>
            <w:tcW w:w="2835" w:type="dxa"/>
          </w:tcPr>
          <w:p>
            <w:r>
              <w:rPr>
                <w:rFonts w:ascii="Times New Roman" w:hAnsi="Times New Roman"/>
                <w:sz w:val="20"/>
              </w:rPr>
              <w:t>So sánh sàng lọc vs chẩn đoán trên cùng mẫu VN</w:t>
            </w:r>
          </w:p>
        </w:tc>
        <w:tc>
          <w:tcPr>
            <w:tcW w:type="dxa" w:w="2351"/>
            <w:tcW w:w="3118" w:type="dxa"/>
          </w:tcPr>
          <w:p>
            <w:r>
              <w:rPr>
                <w:rFonts w:ascii="Times New Roman" w:hAnsi="Times New Roman"/>
                <w:sz w:val="20"/>
              </w:rPr>
              <w:t>Hoa 40,6% (GAD-7) vs V-NAMHS 2,3% (DISC-5) — chênh 17 lần</w:t>
            </w:r>
          </w:p>
        </w:tc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RẤT CAO</w:t>
            </w:r>
          </w:p>
        </w:tc>
      </w:tr>
      <w:tr>
        <w:tc>
          <w:tcPr>
            <w:tcW w:type="dxa" w:w="2351"/>
            <w:tcW w:w="453" w:type="dxa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351"/>
            <w:tcW w:w="2835" w:type="dxa"/>
          </w:tcPr>
          <w:p>
            <w:r>
              <w:rPr>
                <w:rFonts w:ascii="Times New Roman" w:hAnsi="Times New Roman"/>
                <w:sz w:val="20"/>
              </w:rPr>
              <w:t>Khảo sát quốc gia lặp lại (xu hướng dài hạn VN)</w:t>
            </w:r>
          </w:p>
        </w:tc>
        <w:tc>
          <w:tcPr>
            <w:tcW w:type="dxa" w:w="2351"/>
            <w:tcW w:w="3118" w:type="dxa"/>
          </w:tcPr>
          <w:p>
            <w:r>
              <w:rPr>
                <w:rFonts w:ascii="Times New Roman" w:hAnsi="Times New Roman"/>
                <w:sz w:val="20"/>
              </w:rPr>
              <w:t>Zhang 2025 GBD AAPC 0,84% (trầm cảm 0,97%); Norway/Mỹ/Hàn Quốc đều có xu hướng; VN chưa có</w:t>
            </w:r>
          </w:p>
        </w:tc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RẤT CAO</w:t>
            </w:r>
          </w:p>
        </w:tc>
      </w:tr>
      <w:tr>
        <w:tc>
          <w:tcPr>
            <w:tcW w:type="dxa" w:w="2351"/>
            <w:tcW w:w="453" w:type="dxa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351"/>
            <w:tcW w:w="2835" w:type="dxa"/>
          </w:tcPr>
          <w:p>
            <w:r>
              <w:rPr>
                <w:rFonts w:ascii="Times New Roman" w:hAnsi="Times New Roman"/>
                <w:sz w:val="20"/>
              </w:rPr>
              <w:t>Phân tích SKTT VTN VN theo thu nhập</w:t>
            </w:r>
          </w:p>
        </w:tc>
        <w:tc>
          <w:tcPr>
            <w:tcW w:type="dxa" w:w="2351"/>
            <w:tcW w:w="3118" w:type="dxa"/>
          </w:tcPr>
          <w:p>
            <w:r>
              <w:rPr>
                <w:rFonts w:ascii="Times New Roman" w:hAnsi="Times New Roman"/>
                <w:sz w:val="20"/>
              </w:rPr>
              <w:t>Cho 2024 (QT34): stress nghèo 62,77% vs giàu 40,07%; VN: chưa có dữ liệu</w:t>
            </w:r>
          </w:p>
        </w:tc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CAO</w:t>
            </w:r>
          </w:p>
        </w:tc>
      </w:tr>
      <w:tr>
        <w:tc>
          <w:tcPr>
            <w:tcW w:type="dxa" w:w="2351"/>
            <w:tcW w:w="453" w:type="dxa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2351"/>
            <w:tcW w:w="2835" w:type="dxa"/>
          </w:tcPr>
          <w:p>
            <w:r>
              <w:rPr>
                <w:rFonts w:ascii="Times New Roman" w:hAnsi="Times New Roman"/>
                <w:sz w:val="20"/>
              </w:rPr>
              <w:t>NC lo âu XÃ HỘI chuyên biệt ở VTN VN</w:t>
            </w:r>
          </w:p>
        </w:tc>
        <w:tc>
          <w:tcPr>
            <w:tcW w:type="dxa" w:w="2351"/>
            <w:tcW w:w="3118" w:type="dxa"/>
          </w:tcPr>
          <w:p>
            <w:r>
              <w:rPr>
                <w:rFonts w:ascii="Times New Roman" w:hAnsi="Times New Roman"/>
                <w:sz w:val="20"/>
              </w:rPr>
              <w:t>Jefferies &amp; Ungar 2020: VN SAD=30,7% nhưng 18% không biết; chưa có NC riêng</w:t>
            </w:r>
          </w:p>
        </w:tc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CAO</w:t>
            </w:r>
          </w:p>
        </w:tc>
      </w:tr>
      <w:tr>
        <w:tc>
          <w:tcPr>
            <w:tcW w:type="dxa" w:w="2351"/>
            <w:tcW w:w="453" w:type="dxa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2351"/>
            <w:tcW w:w="2835" w:type="dxa"/>
          </w:tcPr>
          <w:p>
            <w:r>
              <w:rPr>
                <w:rFonts w:ascii="Times New Roman" w:hAnsi="Times New Roman"/>
                <w:sz w:val="20"/>
              </w:rPr>
              <w:t>Decomposition nguyên nhân xu hướng tại VN</w:t>
            </w:r>
          </w:p>
        </w:tc>
        <w:tc>
          <w:tcPr>
            <w:tcW w:type="dxa" w:w="2351"/>
            <w:tcW w:w="3118" w:type="dxa"/>
          </w:tcPr>
          <w:p>
            <w:r>
              <w:rPr>
                <w:rFonts w:ascii="Times New Roman" w:hAnsi="Times New Roman"/>
                <w:sz w:val="20"/>
              </w:rPr>
              <w:t>Brunborg 2025 (QT21): bất mãn trường + MXH; VN có dữ liệu nhưng chưa phân tích</w:t>
            </w:r>
          </w:p>
        </w:tc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CAO</w:t>
            </w:r>
          </w:p>
        </w:tc>
      </w:tr>
      <w:tr>
        <w:tc>
          <w:tcPr>
            <w:tcW w:type="dxa" w:w="2351"/>
            <w:tcW w:w="453" w:type="dxa"/>
          </w:tcPr>
          <w:p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2351"/>
            <w:tcW w:w="2835" w:type="dxa"/>
          </w:tcPr>
          <w:p>
            <w:r>
              <w:rPr>
                <w:rFonts w:ascii="Times New Roman" w:hAnsi="Times New Roman"/>
                <w:sz w:val="20"/>
              </w:rPr>
              <w:t>RCT giảm screen time tại trường VN</w:t>
            </w:r>
          </w:p>
        </w:tc>
        <w:tc>
          <w:tcPr>
            <w:tcW w:type="dxa" w:w="2351"/>
            <w:tcW w:w="3118" w:type="dxa"/>
          </w:tcPr>
          <w:p>
            <w:r>
              <w:rPr>
                <w:rFonts w:ascii="Times New Roman" w:hAnsi="Times New Roman"/>
                <w:sz w:val="20"/>
              </w:rPr>
              <w:t>JAMA 2024: d=0,53 chỉ 2 tuần; Li 2025 dọc yếu; VN: 0 RCT</w:t>
            </w:r>
          </w:p>
        </w:tc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CAO</w:t>
            </w:r>
          </w:p>
        </w:tc>
      </w:tr>
      <w:tr>
        <w:tc>
          <w:tcPr>
            <w:tcW w:type="dxa" w:w="2351"/>
            <w:tcW w:w="453" w:type="dxa"/>
          </w:tcPr>
          <w:p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2351"/>
            <w:tcW w:w="2835" w:type="dxa"/>
          </w:tcPr>
          <w:p>
            <w:r>
              <w:rPr>
                <w:rFonts w:ascii="Times New Roman" w:hAnsi="Times New Roman"/>
                <w:sz w:val="20"/>
              </w:rPr>
              <w:t>Đánh giá DASS-Y vs DASS-21 vs GAD-7 ở VTN VN</w:t>
            </w:r>
          </w:p>
        </w:tc>
        <w:tc>
          <w:tcPr>
            <w:tcW w:type="dxa" w:w="2351"/>
            <w:tcW w:w="3118" w:type="dxa"/>
          </w:tcPr>
          <w:p>
            <w:r>
              <w:rPr>
                <w:rFonts w:ascii="Times New Roman" w:hAnsi="Times New Roman"/>
                <w:sz w:val="20"/>
              </w:rPr>
              <w:t>Vĩnh Lộc: DASS-Y cho 25,1% vs DASS-21 40-86%; ngưỡng nào phù hợp?</w:t>
            </w:r>
          </w:p>
        </w:tc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TRUNG BÌNH</w:t>
            </w:r>
          </w:p>
        </w:tc>
      </w:tr>
      <w:tr>
        <w:tc>
          <w:tcPr>
            <w:tcW w:type="dxa" w:w="2351"/>
            <w:tcW w:w="453" w:type="dxa"/>
          </w:tcPr>
          <w:p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type="dxa" w:w="2351"/>
            <w:tcW w:w="2835" w:type="dxa"/>
          </w:tcPr>
          <w:p>
            <w:r>
              <w:rPr>
                <w:rFonts w:ascii="Times New Roman" w:hAnsi="Times New Roman"/>
                <w:sz w:val="20"/>
              </w:rPr>
              <w:t>NC SKTT VTN DTTS/vùng khó khăn</w:t>
            </w:r>
          </w:p>
        </w:tc>
        <w:tc>
          <w:tcPr>
            <w:tcW w:type="dxa" w:w="2351"/>
            <w:tcW w:w="3118" w:type="dxa"/>
          </w:tcPr>
          <w:p>
            <w:r>
              <w:rPr>
                <w:rFonts w:ascii="Times New Roman" w:hAnsi="Times New Roman"/>
                <w:sz w:val="20"/>
              </w:rPr>
              <w:t>Ngô Anh Vinh: DTTS 54,4%; 59 Countries: thực phẩm AOR=2,22</w:t>
            </w:r>
          </w:p>
        </w:tc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CAO</w:t>
            </w:r>
          </w:p>
        </w:tc>
      </w:tr>
      <w:tr>
        <w:tc>
          <w:tcPr>
            <w:tcW w:type="dxa" w:w="2351"/>
            <w:tcW w:w="453" w:type="dxa"/>
          </w:tcPr>
          <w:p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2351"/>
            <w:tcW w:w="2835" w:type="dxa"/>
          </w:tcPr>
          <w:p>
            <w:r>
              <w:rPr>
                <w:rFonts w:ascii="Times New Roman" w:hAnsi="Times New Roman"/>
                <w:sz w:val="20"/>
              </w:rPr>
              <w:t>Bất an thực phẩm → lo âu VTN VN</w:t>
            </w:r>
          </w:p>
        </w:tc>
        <w:tc>
          <w:tcPr>
            <w:tcW w:type="dxa" w:w="2351"/>
            <w:tcW w:w="3118" w:type="dxa"/>
          </w:tcPr>
          <w:p>
            <w:r>
              <w:rPr>
                <w:rFonts w:ascii="Times New Roman" w:hAnsi="Times New Roman"/>
                <w:sz w:val="20"/>
              </w:rPr>
              <w:t>59 Countries (QT31): AOR=2,22 nhưng VN chưa NC; nông thôn/DTTS</w:t>
            </w:r>
          </w:p>
        </w:tc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TRUNG BÌNH</w:t>
            </w:r>
          </w:p>
        </w:tc>
      </w:tr>
    </w:tbl>
    <w:p>
      <w:pPr>
        <w:pStyle w:val="Heading2"/>
      </w:pPr>
      <w:r>
        <w:rPr>
          <w:rFonts w:ascii="Times New Roman" w:hAnsi="Times New Roman"/>
          <w:color w:val="000000"/>
        </w:rPr>
        <w:t>9. Gợi ý đề cương nghiên cứu — 3 giai đoạn</w:t>
      </w:r>
    </w:p>
    <w:p>
      <w:pPr>
        <w:pStyle w:val="Heading3"/>
      </w:pPr>
      <w:r>
        <w:rPr>
          <w:rFonts w:ascii="Times New Roman" w:hAnsi="Times New Roman"/>
          <w:color w:val="000000"/>
        </w:rPr>
        <w:t>Bảng 9. Đề cương gợi ý — Dựa trên 35 bài NC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tcW w:w="1134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Giai đoạn</w:t>
            </w:r>
          </w:p>
        </w:tc>
        <w:tc>
          <w:tcPr>
            <w:tcW w:type="dxa" w:w="2351"/>
            <w:tcW w:w="3118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Nội dung</w:t>
            </w:r>
          </w:p>
        </w:tc>
        <w:tc>
          <w:tcPr>
            <w:tcW w:type="dxa" w:w="2351"/>
            <w:tcW w:w="2268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Phương pháp</w:t>
            </w:r>
          </w:p>
        </w:tc>
        <w:tc>
          <w:tcPr>
            <w:tcW w:type="dxa" w:w="2351"/>
            <w:tcW w:w="1134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Thời gian</w:t>
            </w:r>
          </w:p>
        </w:tc>
      </w:tr>
      <w:tr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1. Khảo sát</w:t>
            </w:r>
          </w:p>
        </w:tc>
        <w:tc>
          <w:tcPr>
            <w:tcW w:type="dxa" w:w="2351"/>
            <w:tcW w:w="3118" w:type="dxa"/>
          </w:tcPr>
          <w:p>
            <w:r>
              <w:rPr>
                <w:rFonts w:ascii="Times New Roman" w:hAnsi="Times New Roman"/>
                <w:sz w:val="20"/>
              </w:rPr>
              <w:t>Tỷ lệ lo âu (GAD-7 + DASS-Y + SIAS) + yếu tố nguy cơ/bảo vệ</w:t>
            </w:r>
          </w:p>
        </w:tc>
        <w:tc>
          <w:tcPr>
            <w:tcW w:type="dxa" w:w="235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Cắt ngang, 1.000+ HS THCS/THPT, 3 vùng</w:t>
            </w:r>
          </w:p>
        </w:tc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6 tháng</w:t>
            </w:r>
          </w:p>
        </w:tc>
      </w:tr>
      <w:tr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2. So sánh công cụ</w:t>
            </w:r>
          </w:p>
        </w:tc>
        <w:tc>
          <w:tcPr>
            <w:tcW w:type="dxa" w:w="2351"/>
            <w:tcW w:w="3118" w:type="dxa"/>
          </w:tcPr>
          <w:p>
            <w:r>
              <w:rPr>
                <w:rFonts w:ascii="Times New Roman" w:hAnsi="Times New Roman"/>
                <w:sz w:val="20"/>
              </w:rPr>
              <w:t>GAD-7 vs DASS-21 vs DASS-Y vs SIAS trên cùng mẫu + DISC-5 mẫu con</w:t>
            </w:r>
          </w:p>
        </w:tc>
        <w:tc>
          <w:tcPr>
            <w:tcW w:type="dxa" w:w="235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Thiết kế so sánh công cụ, 300–500 HS</w:t>
            </w:r>
          </w:p>
        </w:tc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6 tháng</w:t>
            </w:r>
          </w:p>
        </w:tc>
      </w:tr>
      <w:tr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3. Can thiệp</w:t>
            </w:r>
          </w:p>
        </w:tc>
        <w:tc>
          <w:tcPr>
            <w:tcW w:type="dxa" w:w="2351"/>
            <w:tcW w:w="3118" w:type="dxa"/>
          </w:tcPr>
          <w:p>
            <w:r>
              <w:rPr>
                <w:rFonts w:ascii="Times New Roman" w:hAnsi="Times New Roman"/>
                <w:sz w:val="20"/>
              </w:rPr>
              <w:t>RCT CBT nhóm + PE tại trường vs đối chứng</w:t>
            </w:r>
          </w:p>
        </w:tc>
        <w:tc>
          <w:tcPr>
            <w:tcW w:type="dxa" w:w="235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RCT cluster (5 trường can thiệp, 5 đối chứng)</w:t>
            </w:r>
          </w:p>
        </w:tc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12 tháng</w:t>
            </w:r>
          </w:p>
        </w:tc>
      </w:tr>
    </w:tbl>
    <w:p>
      <w:r>
        <w:rPr>
          <w:rFonts w:ascii="Times New Roman" w:hAnsi="Times New Roman"/>
          <w:b w:val="0"/>
          <w:i w:val="0"/>
          <w:sz w:val="24"/>
        </w:rPr>
        <w:t>Giai đoạn 1 ưu tiên dùng: GAD-7 (so sánh Hoa 2024), DASS-Y (so sánh Vĩnh Lộc 2024), và SIAS-17 (so sánh Jefferies 2020 — có dữ liệu VN). Thêm ESSA (áp lực học tập), ACEs, screen time, giấc ngủ.</w:t>
      </w:r>
    </w:p>
    <w:p>
      <w:r>
        <w:rPr>
          <w:rFonts w:ascii="Times New Roman" w:hAnsi="Times New Roman"/>
          <w:b w:val="0"/>
          <w:i w:val="0"/>
          <w:sz w:val="24"/>
        </w:rPr>
        <w:t>Giai đoạn 3: CBT nhóm + hoạt động thể chất (Li 2025 BMC NMA 2025: cả hai hiệu quả). Kết hợp giảm screen time (JAMA 2024). Đo trước/sau bằng GAD-7 + DASS-Y + SDQ.</w:t>
      </w:r>
    </w:p>
    <w:p>
      <w:r>
        <w:rPr>
          <w:rFonts w:ascii="Times New Roman" w:hAnsi="Times New Roman"/>
          <w:b w:val="0"/>
          <w:i w:val="0"/>
          <w:sz w:val="24"/>
        </w:rPr>
      </w:r>
    </w:p>
    <w:p>
      <w:r>
        <w:rPr>
          <w:rFonts w:ascii="Times New Roman" w:hAnsi="Times New Roman"/>
          <w:b w:val="0"/>
          <w:i/>
          <w:sz w:val="24"/>
        </w:rPr>
        <w:t>Tài liệu cập nhật ngày 04/04/2026. Dựa trên 35 bài NC đã dịch và kiểm tra (2020–2025).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