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1</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BÀI BÁO 1: Trầm cảm và lo âu ở học sinh trung học cơ sở đa sắc tộc: Tuổi, giới tính và môi trường văn hóa xã hội Tiêu đề gốc (English):** Depression and anxiety among multiethnic middle school students: Age, gender, and sociocultural environment Tiêu đề dịch (Vietnamese):** Trầm cảm và lo âu ở học sinh trung học cơ sở đa sắc tộc: Tuổi, giới tính và môi trường văn hóa xã hội Tác giả:** Janis H. Jenkins, Giselle Sanchez, Eric A. Miller, Nadia Irina Santillanes Allande, Grace Urano, Alexandra J. Pr</w:t>
      </w:r>
    </w:p>
    <w:p>
      <w:r>
        <w:rPr>
          <w:rFonts w:ascii="Times New Roman" w:hAnsi="Times New Roman"/>
          <w:b/>
          <w:color w:val="FF0000"/>
          <w:sz w:val="24"/>
        </w:rPr>
        <w:t>Phương pháp nghiên cứu</w:t>
      </w:r>
    </w:p>
    <w:p>
      <w:r>
        <w:rPr>
          <w:rFonts w:ascii="Times New Roman" w:hAnsi="Times New Roman"/>
          <w:b/>
          <w:color w:val="0070C0"/>
          <w:sz w:val="24"/>
        </w:rPr>
        <w:t>Tổng quan về thiết kế và quy trình nghiên cứu Nghiên cứu này được thiết kế để khảo sát trải nghiệm sống và sức khỏe tâm thần trong giai đoạn tuổi vị thành niên thông qua phương pháp hỗn hợp và tiếp cận dân tộc học. Bối cảnh của nghiên cứu phi lâm sàng này là một trường học và cộng đồng đa sắc tộc thu nhập thấp ở Nam California, Hoa Kỳ. Kế hoạch nghiên cứu tập trung vào việc khảo sát các thói quen hàng ngày, tình trạng sức khỏe tâm thần và sự tham gia giáo dục của học sinh trung học cơ sở được tuyển chọn ở trình độ lớp sáu (độ tuổi 10-11). Việc lựa chọn từ nhóm tuổi trẻ hơn này nhằm đóng góp và</w:t>
      </w:r>
    </w:p>
    <w:p>
      <w:r>
        <w:rPr>
          <w:rFonts w:ascii="Times New Roman" w:hAnsi="Times New Roman"/>
          <w:b/>
          <w:color w:val="FF0000"/>
          <w:sz w:val="24"/>
        </w:rPr>
        <w:t>Kết quả nghiên cứu định lượng</w:t>
      </w:r>
    </w:p>
    <w:p>
      <w:r>
        <w:rPr>
          <w:rFonts w:ascii="Times New Roman" w:hAnsi="Times New Roman"/>
          <w:sz w:val="24"/>
          <w:color w:val="0070C0"/>
          <w:b/>
        </w:rPr>
        <w:t xml:space="preserve">Nữ có điểm PHQ-9A cao hơn nam (p = 0,002, kiểm định Mann-Whitney) và điểm GAD-10 cao hơn (p = 0,016).</w:t>
      </w:r>
    </w:p>
    <w:p>
      <w:r>
        <w:rPr>
          <w:rFonts w:ascii="Times New Roman" w:hAnsi="Times New Roman"/>
          <w:b w:val="0"/>
          <w:color w:val="0070C0"/>
          <w:sz w:val="24"/>
        </w:rPr>
        <w:t>Đặc điểm nhân khẩu xã hội Bảng 1 liệt kê các đặc điểm nhân khẩu xã hội của mẫu nghiên cứu, bao gồm giới tính, tuổi, trình độ lớp, nền tảng sắc tộc và loại hộ gia đình. Tuổi trung bình là 11,2 với phạm vi tuổi hạn chế giữa các học sinh tham gia. Trong mẫu này, phần lớn học sinh xác định là nam hoặc nữ; tuy nhiên, điều đáng lưu ý là trong các cuộc phỏng vấn, một số học sinh đang đặt câu hỏi về bản dạng giới tính và xu hướng tình dục của mình, cho thấy những hạn chế của việc mã hóa giới tính hoặc tính dục theo kiểu nhị phân. Nhận dạng sắc tộc phổ biến nhất là gốc Mexico, tiếp theo là các tổ hợp nền tảng Âu-Mỹ. Các nhận dạng bổ sung bao gồm người Mỹ gốc Phi và Da đen, Trung Mỹ, quần đảo Thái Bình Dương, Nam Á và Đông Á, và người bản địa Mỹ. Về nền tảng sắc tộc, chúng tôi lưu ý rằng đối với một</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Phát hiện về tuổi trong trầm cảm và lo âu Chúng tôi nhận thấy 44% thanh thiếu niên trong nghiên cứu rơi vào phạm vi nhẹ đến nặng của thang sàng lọc trầm cảm PHQ-9A, trong khi các phản hồi GAD-10 cho thấy khoảng một nửa (50,6%) thanh thiếu niên rơi vào phạm vi sàng lọc lo âu từ nhẹ đến cực kỳ nặng. Với đây là một nghiên cứu phi lâm sàng, dựa trên trường học, kết quả của chúng tôi cho thấy việc sàng lọc các vấn đề sức khỏe tâm thần phổ biến này có thể quan trọng cho việc nhận diện sớm các tình trạng khó chịu có thể tiếp tục hoặc trở nên trầm trọng hơn sau 11 tuổi. Nghiên cứu của chúng tôi là một</w:t>
      </w:r>
    </w:p>
    <w:p>
      <w:r>
        <w:rPr>
          <w:rFonts w:ascii="Times New Roman" w:hAnsi="Times New Roman"/>
          <w:b/>
          <w:color w:val="FF0000"/>
          <w:sz w:val="24"/>
        </w:rPr>
        <w:t>Kết luận</w:t>
      </w:r>
    </w:p>
    <w:p>
      <w:r>
        <w:rPr>
          <w:rFonts w:ascii="Times New Roman" w:hAnsi="Times New Roman"/>
          <w:b/>
          <w:color w:val="0070C0"/>
          <w:sz w:val="24"/>
        </w:rPr>
        <w:t>Dữ liệu của chúng tôi, cho thấy sự hiện diện của các mức độ triệu chứng trầm cảm và lo âu từ nhẹ đến nặng trong một mẫu phi lâm sàng gồm các học sinh trung học cơ sở trẻ tuổi, gợi ý rằng cần chú ý nghiên cứu ở độ tuổi sớm hơn cho các quy trình sàng lọc cơ bản. Những phát hiện ở trẻ 11 tuổi này có ý nghĩa lâm sàng tiềm năng cho việc nhận diện các tình trạng dưới ngưỡng hội chứng trong giai đoạn đầu tuổi vị thành niên. Sự khác biệt giới tính có ý nghĩa, trước đây được tìm thấy ở thanh thiếu niên l</w:t>
      </w:r>
    </w:p>
    <w:p>
      <w:pPr>
        <w:pStyle w:val="Heading2"/>
      </w:pPr>
      <w:r>
        <w:rPr>
          <w:rFonts w:ascii="Times New Roman" w:hAnsi="Times New Roman"/>
          <w:color w:val="FF0000"/>
        </w:rPr>
        <w:t>Phản biện</w:t>
      </w:r>
    </w:p>
    <w:p>
      <w:r>
        <w:rPr>
          <w:rFonts w:ascii="Times New Roman" w:hAnsi="Times New Roman"/>
          <w:b w:val="0"/>
          <w:color w:val="0070C0"/>
          <w:sz w:val="24"/>
        </w:rPr>
        <w:t>Cỡ mẫu rất nhỏ (N=75), snowball sampling tại 1 trường duy nhất — không đại diện. GAD-10 sửa đổi thiếu dữ liệu xác thực. Thiết kế kéo dài 2018-2021 trùng COVID-19 nhưng không kiểm soát hiệu ứng thời điểm. Phương pháp hỗn hợp là điểm sáng.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cỡ mẫu. Phát triển công cụ sàng lọc nhạy cảm văn hóa. Nghiên cứu dọc theo dõi từ đầu vị thành niên. Đánh giá can thiệp giải quyết yếu tố văn hóa xã hội.</w:t>
      </w:r>
    </w:p>
    <w:p/>
    <w:p>
      <w:r>
        <w:rPr>
          <w:rFonts w:ascii="Times New Roman" w:hAnsi="Times New Roman"/>
          <w:b/>
          <w:sz w:val="24"/>
        </w:rPr>
        <w:t>Đánh giá chất lượng: ⭐⭐⭐ Trung bình-Khá</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Chỉ số</w:t>
            </w:r>
          </w:p>
        </w:tc>
        <w:tc>
          <w:tcPr>
            <w:tcW w:type="dxa" w:w="3135"/>
            <w:shd w:fill="D9E2F3" w:val="clear"/>
          </w:tcPr>
          <w:p>
            <w:r>
              <w:rPr>
                <w:rFonts w:ascii="Times New Roman" w:hAnsi="Times New Roman"/>
                <w:b/>
                <w:sz w:val="20"/>
              </w:rPr>
              <w:t>Tỷ lệ</w:t>
            </w:r>
          </w:p>
        </w:tc>
        <w:tc>
          <w:tcPr>
            <w:tcW w:type="dxa" w:w="3135"/>
            <w:shd w:fill="D9E2F3" w:val="clear"/>
          </w:tcPr>
          <w:p>
            <w:r>
              <w:rPr>
                <w:rFonts w:ascii="Times New Roman" w:hAnsi="Times New Roman"/>
                <w:b/>
                <w:sz w:val="20"/>
              </w:rPr>
              <w:t>Ghi chú</w:t>
            </w:r>
          </w:p>
        </w:tc>
      </w:tr>
      <w:tr>
        <w:tc>
          <w:tcPr>
            <w:tcW w:type="dxa" w:w="3135"/>
          </w:tcPr>
          <w:p>
            <w:r>
              <w:rPr>
                <w:rFonts w:ascii="Times New Roman" w:hAnsi="Times New Roman"/>
                <w:sz w:val="20"/>
              </w:rPr>
              <w:t>Trầm cảm (PHQ-9A nhẹ–nặng)</w:t>
            </w:r>
          </w:p>
        </w:tc>
        <w:tc>
          <w:tcPr>
            <w:tcW w:type="dxa" w:w="3135"/>
          </w:tcPr>
          <w:p>
            <w:r>
              <w:rPr>
                <w:rFonts w:ascii="Times New Roman" w:hAnsi="Times New Roman"/>
                <w:sz w:val="20"/>
              </w:rPr>
              <w:t>44%</w:t>
            </w:r>
          </w:p>
        </w:tc>
        <w:tc>
          <w:tcPr>
            <w:tcW w:type="dxa" w:w="3135"/>
          </w:tcPr>
          <w:p>
            <w:r>
              <w:rPr>
                <w:rFonts w:ascii="Times New Roman" w:hAnsi="Times New Roman"/>
                <w:sz w:val="20"/>
              </w:rPr>
              <w:t>Mẫu phi lâm sàng</w:t>
            </w:r>
          </w:p>
        </w:tc>
      </w:tr>
      <w:tr>
        <w:tc>
          <w:tcPr>
            <w:tcW w:type="dxa" w:w="3135"/>
          </w:tcPr>
          <w:p>
            <w:r>
              <w:rPr>
                <w:rFonts w:ascii="Times New Roman" w:hAnsi="Times New Roman"/>
                <w:sz w:val="20"/>
              </w:rPr>
              <w:t>Lo âu (GAD-10 nhẹ–cực nặng)</w:t>
            </w:r>
          </w:p>
        </w:tc>
        <w:tc>
          <w:tcPr>
            <w:tcW w:type="dxa" w:w="3135"/>
          </w:tcPr>
          <w:p>
            <w:r>
              <w:rPr>
                <w:rFonts w:ascii="Times New Roman" w:hAnsi="Times New Roman"/>
                <w:sz w:val="20"/>
              </w:rPr>
              <w:t>50,6%</w:t>
            </w:r>
          </w:p>
        </w:tc>
        <w:tc>
          <w:tcPr>
            <w:tcW w:type="dxa" w:w="3135"/>
          </w:tcPr>
          <w:p>
            <w:r>
              <w:rPr>
                <w:rFonts w:ascii="Times New Roman" w:hAnsi="Times New Roman"/>
                <w:sz w:val="20"/>
              </w:rPr>
            </w:r>
          </w:p>
        </w:tc>
      </w:tr>
      <w:tr>
        <w:tc>
          <w:tcPr>
            <w:tcW w:type="dxa" w:w="3135"/>
          </w:tcPr>
          <w:p>
            <w:r>
              <w:rPr>
                <w:rFonts w:ascii="Times New Roman" w:hAnsi="Times New Roman"/>
                <w:sz w:val="20"/>
              </w:rPr>
              <w:t>Tuổi TB</w:t>
            </w:r>
          </w:p>
        </w:tc>
        <w:tc>
          <w:tcPr>
            <w:tcW w:type="dxa" w:w="3135"/>
          </w:tcPr>
          <w:p>
            <w:r>
              <w:rPr>
                <w:rFonts w:ascii="Times New Roman" w:hAnsi="Times New Roman"/>
                <w:sz w:val="20"/>
              </w:rPr>
              <w:t>11,2</w:t>
            </w:r>
          </w:p>
        </w:tc>
        <w:tc>
          <w:tcPr>
            <w:tcW w:type="dxa" w:w="3135"/>
          </w:tcPr>
          <w:p>
            <w:r>
              <w:rPr>
                <w:rFonts w:ascii="Times New Roman" w:hAnsi="Times New Roman"/>
                <w:sz w:val="20"/>
              </w:rPr>
              <w:t>THCS</w:t>
            </w:r>
          </w:p>
        </w:tc>
      </w:tr>
    </w:tbl>
    <w:p>
      <w:r>
        <w:rPr>
          <w:rFonts w:ascii="Times New Roman" w:hAnsi="Times New Roman"/>
          <w:b/>
          <w:sz w:val="22"/>
        </w:rPr>
        <w:t>Bảng 1. Tỷ lệ trầm cảm và lo âu — Jenkins et al. 2023</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Yếu tố</w:t>
            </w:r>
          </w:p>
        </w:tc>
        <w:tc>
          <w:tcPr>
            <w:tcW w:type="dxa" w:w="3135"/>
            <w:shd w:fill="D9E2F3" w:val="clear"/>
          </w:tcPr>
          <w:p>
            <w:r>
              <w:rPr>
                <w:rFonts w:ascii="Times New Roman" w:hAnsi="Times New Roman"/>
                <w:b/>
                <w:sz w:val="20"/>
              </w:rPr>
              <w:t>Ảnh hưởng</w:t>
            </w:r>
          </w:p>
        </w:tc>
        <w:tc>
          <w:tcPr>
            <w:tcW w:type="dxa" w:w="3135"/>
            <w:shd w:fill="D9E2F3" w:val="clear"/>
          </w:tcPr>
          <w:p>
            <w:r>
              <w:rPr>
                <w:rFonts w:ascii="Times New Roman" w:hAnsi="Times New Roman"/>
                <w:b/>
                <w:sz w:val="20"/>
              </w:rPr>
              <w:t>p</w:t>
            </w:r>
          </w:p>
        </w:tc>
      </w:tr>
      <w:tr>
        <w:tc>
          <w:tcPr>
            <w:tcW w:type="dxa" w:w="3135"/>
          </w:tcPr>
          <w:p>
            <w:r>
              <w:rPr>
                <w:rFonts w:ascii="Times New Roman" w:hAnsi="Times New Roman"/>
                <w:sz w:val="20"/>
              </w:rPr>
              <w:t>Tuổi</w:t>
            </w:r>
          </w:p>
        </w:tc>
        <w:tc>
          <w:tcPr>
            <w:tcW w:type="dxa" w:w="3135"/>
          </w:tcPr>
          <w:p>
            <w:r>
              <w:rPr>
                <w:rFonts w:ascii="Times New Roman" w:hAnsi="Times New Roman"/>
                <w:sz w:val="20"/>
              </w:rPr>
              <w:t>Tăng triệu chứng theo tuổi</w:t>
            </w:r>
          </w:p>
        </w:tc>
        <w:tc>
          <w:tcPr>
            <w:tcW w:type="dxa" w:w="3135"/>
          </w:tcPr>
          <w:p>
            <w:r>
              <w:rPr>
                <w:rFonts w:ascii="Times New Roman" w:hAnsi="Times New Roman"/>
                <w:sz w:val="20"/>
              </w:rPr>
              <w:t>&lt;0,05</w:t>
            </w:r>
          </w:p>
        </w:tc>
      </w:tr>
      <w:tr>
        <w:tc>
          <w:tcPr>
            <w:tcW w:type="dxa" w:w="3135"/>
          </w:tcPr>
          <w:p>
            <w:r>
              <w:rPr>
                <w:rFonts w:ascii="Times New Roman" w:hAnsi="Times New Roman"/>
                <w:sz w:val="20"/>
              </w:rPr>
              <w:t>Giới tính</w:t>
            </w:r>
          </w:p>
        </w:tc>
        <w:tc>
          <w:tcPr>
            <w:tcW w:type="dxa" w:w="3135"/>
          </w:tcPr>
          <w:p>
            <w:r>
              <w:rPr>
                <w:rFonts w:ascii="Times New Roman" w:hAnsi="Times New Roman"/>
                <w:sz w:val="20"/>
              </w:rPr>
              <w:t>Nữ &gt; Nam (trầm cảm + lo âu)</w:t>
            </w:r>
          </w:p>
        </w:tc>
        <w:tc>
          <w:tcPr>
            <w:tcW w:type="dxa" w:w="3135"/>
          </w:tcPr>
          <w:p>
            <w:r>
              <w:rPr>
                <w:rFonts w:ascii="Times New Roman" w:hAnsi="Times New Roman"/>
                <w:sz w:val="20"/>
              </w:rPr>
              <w:t>&lt;0,05</w:t>
            </w:r>
          </w:p>
        </w:tc>
      </w:tr>
      <w:tr>
        <w:tc>
          <w:tcPr>
            <w:tcW w:type="dxa" w:w="3135"/>
          </w:tcPr>
          <w:p>
            <w:r>
              <w:rPr>
                <w:rFonts w:ascii="Times New Roman" w:hAnsi="Times New Roman"/>
                <w:sz w:val="20"/>
              </w:rPr>
              <w:t>Sắc tộc / Văn hóa</w:t>
            </w:r>
          </w:p>
        </w:tc>
        <w:tc>
          <w:tcPr>
            <w:tcW w:type="dxa" w:w="3135"/>
          </w:tcPr>
          <w:p>
            <w:r>
              <w:rPr>
                <w:rFonts w:ascii="Times New Roman" w:hAnsi="Times New Roman"/>
                <w:sz w:val="20"/>
              </w:rPr>
              <w:t>Khác biệt giữa nhóm</w:t>
            </w:r>
          </w:p>
        </w:tc>
        <w:tc>
          <w:tcPr>
            <w:tcW w:type="dxa" w:w="3135"/>
          </w:tcPr>
          <w:p>
            <w:r>
              <w:rPr>
                <w:rFonts w:ascii="Times New Roman" w:hAnsi="Times New Roman"/>
                <w:sz w:val="20"/>
              </w:rPr>
              <w:t>&lt;0,05</w:t>
            </w:r>
          </w:p>
        </w:tc>
      </w:tr>
    </w:tbl>
    <w:p>
      <w:r>
        <w:rPr>
          <w:rFonts w:ascii="Times New Roman" w:hAnsi="Times New Roman"/>
          <w:b/>
          <w:sz w:val="22"/>
        </w:rPr>
        <w:t>Bảng 2. Yếu tố liên quan — Jenkins et al. 2023</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