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Tóm tắt bài QT-21</w:t>
      </w:r>
    </w:p>
    <w:p>
      <w:r>
        <w:rPr>
          <w:rFonts w:ascii="Times New Roman" w:hAnsi="Times New Roman"/>
          <w:b/>
          <w:i w:val="0"/>
          <w:sz w:val="24"/>
        </w:rPr>
        <w:t>Tên công trình, tác giả, năm, mẫu khảo sát, đối tượng, khách thể, địa bàn khảo sát</w:t>
      </w:r>
    </w:p>
    <w:p>
      <w:r>
        <w:rPr>
          <w:rFonts w:ascii="Times New Roman" w:hAnsi="Times New Roman"/>
          <w:b w:val="0"/>
          <w:i w:val="0"/>
          <w:sz w:val="24"/>
        </w:rPr>
        <w:t>Công trình « Giải thích khả thi cho xu hướng tăng căng thẳng tâm thần ở thanh thiếu niên Na Uy từ 2011 đến 2024 » (Possible Explanations for the Upward Trend in Mental Distress among Adolescents in Norway from 2011 to 2024), do Geir Scott Brunborg, Sondre Aasen Nilsen, Jens Christoffer Skogen và Lasse Bang (2025), phân tích 979.043 VTN Na Uy từ 1.417 khảo sát cấp thành phố (2011–2024). Social Science &amp; Medicine, 384, 118528. DOI: 10.1016/j.socscimed.2025.118528.</w:t>
      </w:r>
    </w:p>
    <w:p>
      <w:r>
        <w:rPr>
          <w:rFonts w:ascii="Times New Roman" w:hAnsi="Times New Roman"/>
          <w:b/>
          <w:i w:val="0"/>
          <w:sz w:val="24"/>
        </w:rPr>
        <w:t>Phương pháp nghiên cứu</w:t>
      </w:r>
    </w:p>
    <w:p>
      <w:r>
        <w:rPr>
          <w:rFonts w:ascii="Times New Roman" w:hAnsi="Times New Roman"/>
          <w:b w:val="0"/>
          <w:i w:val="0"/>
          <w:sz w:val="24"/>
        </w:rPr>
        <w:t>Công trình sử dụng phân tích cắt ngang lặp lại (repeated cross-sectional) với phương pháp decomposition — giữ cố định (holding constant) từng yếu tố để kiểm tra đóng góp vào xu hướng. Nói cách khác, đây là phương pháp "thí nghiệm tư duy dịch tễ học" — nếu loại bỏ tác động của một yếu tố, xu hướng tăng có biến mất không?</w:t>
      </w:r>
    </w:p>
    <w:p>
      <w:r>
        <w:rPr>
          <w:rFonts w:ascii="Times New Roman" w:hAnsi="Times New Roman"/>
          <w:b w:val="0"/>
          <w:i w:val="0"/>
          <w:sz w:val="24"/>
        </w:rPr>
        <w:t>Căng thẳng tâm thần đo bằng 6 mục rút gọn từ Thang Triệu chứng Hopkins (HSCL — Hopkins Symptom Checklist). Tám yếu tố giải thích: khó khăn tài chính, tối ở nhà, thiếu vận động, bắt nạt, bất mãn cha mẹ, mạng xã hội, cần sa, bất mãn trường học.</w:t>
      </w:r>
    </w:p>
    <w:p>
      <w:r>
        <w:rPr>
          <w:rFonts w:ascii="Times New Roman" w:hAnsi="Times New Roman"/>
          <w:b w:val="0"/>
          <w:i w:val="0"/>
          <w:sz w:val="24"/>
        </w:rPr>
        <w:t>Tổng quan tài liệu cho thấy xu hướng tăng căng thẳng tâm thần VTN đã được ghi nhận ở nhiều nước nhưng ít NC giải thích nguyên nhân. Khung Keyes &amp; Platt (2024) đề xuất 3 tiêu chí: (1) liên quan cá nhân, (2) tỷ lệ tăng, (3) độc lực tăng.</w:t>
      </w:r>
    </w:p>
    <w:p>
      <w:r>
        <w:rPr>
          <w:rFonts w:ascii="Times New Roman" w:hAnsi="Times New Roman"/>
          <w:b w:val="0"/>
          <w:i w:val="0"/>
          <w:sz w:val="24"/>
        </w:rPr>
        <w:t>N = 979.043 VTN, chủ yếu lớp 8–10 (13–16 tuổi), từ 1.417 khảo sát cấp thành phố, 2011–2024 (trừ 2020).</w:t>
      </w:r>
    </w:p>
    <w:p>
      <w:r>
        <w:rPr>
          <w:rFonts w:ascii="Times New Roman" w:hAnsi="Times New Roman"/>
          <w:b w:val="0"/>
          <w:i w:val="0"/>
          <w:sz w:val="24"/>
        </w:rPr>
        <w:t>Hồi quy tuyến tính, decomposition (giữ cố định), kiểm tra tương tác yếu tố × thời gian. Stata 18.</w:t>
      </w:r>
    </w:p>
    <w:p>
      <w:r>
        <w:rPr>
          <w:rFonts w:ascii="Times New Roman" w:hAnsi="Times New Roman"/>
          <w:b/>
          <w:i w:val="0"/>
          <w:sz w:val="24"/>
        </w:rPr>
        <w:t>Kết quả nghiên cứu định lượng</w:t>
      </w:r>
    </w:p>
    <w:p>
      <w:r>
        <w:rPr>
          <w:b/>
          <w:sz w:val="22"/>
          <w:rFonts w:ascii="Times New Roman" w:hAnsi="Times New Roman"/>
        </w:rPr>
        <w:t>Bảng 1. Kết quả chính</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1984" w:type="dxa"/>
            <w:shd w:fill="D9E2F3" w:val="clear"/>
          </w:tcPr>
          <w:p>
            <w:pPr>
              <w:jc w:val="center"/>
            </w:pPr>
            <w:r>
              <w:rPr>
                <w:rFonts w:ascii="Times New Roman" w:hAnsi="Times New Roman"/>
                <w:b/>
                <w:sz w:val="20"/>
              </w:rPr>
              <w:t>Yếu tố</w:t>
            </w:r>
          </w:p>
        </w:tc>
        <w:tc>
          <w:tcPr>
            <w:tcW w:type="dxa" w:w="2351"/>
            <w:tcW w:w="1134" w:type="dxa"/>
            <w:shd w:fill="D9E2F3" w:val="clear"/>
          </w:tcPr>
          <w:p>
            <w:pPr>
              <w:jc w:val="center"/>
            </w:pPr>
            <w:r>
              <w:rPr>
                <w:rFonts w:ascii="Times New Roman" w:hAnsi="Times New Roman"/>
                <w:b/>
                <w:sz w:val="20"/>
              </w:rPr>
              <w:t>Tỷ lệ tăng?</w:t>
            </w:r>
          </w:p>
        </w:tc>
        <w:tc>
          <w:tcPr>
            <w:tcW w:type="dxa" w:w="2351"/>
            <w:tcW w:w="2268" w:type="dxa"/>
            <w:shd w:fill="D9E2F3" w:val="clear"/>
          </w:tcPr>
          <w:p>
            <w:pPr>
              <w:jc w:val="center"/>
            </w:pPr>
            <w:r>
              <w:rPr>
                <w:rFonts w:ascii="Times New Roman" w:hAnsi="Times New Roman"/>
                <w:b/>
                <w:sz w:val="20"/>
              </w:rPr>
              <w:t>Giữ cố định → xu hướng</w:t>
            </w:r>
          </w:p>
        </w:tc>
        <w:tc>
          <w:tcPr>
            <w:tcW w:type="dxa" w:w="2351"/>
            <w:tcW w:w="1984" w:type="dxa"/>
            <w:shd w:fill="D9E2F3" w:val="clear"/>
          </w:tcPr>
          <w:p>
            <w:pPr>
              <w:jc w:val="center"/>
            </w:pPr>
            <w:r>
              <w:rPr>
                <w:rFonts w:ascii="Times New Roman" w:hAnsi="Times New Roman"/>
                <w:b/>
                <w:sz w:val="20"/>
              </w:rPr>
              <w:t>Kết luận</w:t>
            </w:r>
          </w:p>
        </w:tc>
      </w:tr>
      <w:tr>
        <w:tc>
          <w:tcPr>
            <w:tcW w:type="dxa" w:w="2351"/>
            <w:tcW w:w="1984" w:type="dxa"/>
          </w:tcPr>
          <w:p>
            <w:r>
              <w:rPr>
                <w:rFonts w:ascii="Times New Roman" w:hAnsi="Times New Roman"/>
                <w:sz w:val="20"/>
              </w:rPr>
              <w:t>Bất mãn trường học</w:t>
            </w:r>
          </w:p>
        </w:tc>
        <w:tc>
          <w:tcPr>
            <w:tcW w:type="dxa" w:w="2351"/>
            <w:tcW w:w="1134" w:type="dxa"/>
          </w:tcPr>
          <w:p>
            <w:r>
              <w:rPr>
                <w:rFonts w:ascii="Times New Roman" w:hAnsi="Times New Roman"/>
                <w:sz w:val="20"/>
              </w:rPr>
              <w:t>Có</w:t>
            </w:r>
          </w:p>
        </w:tc>
        <w:tc>
          <w:tcPr>
            <w:tcW w:type="dxa" w:w="2351"/>
            <w:tcW w:w="2268" w:type="dxa"/>
          </w:tcPr>
          <w:p>
            <w:r>
              <w:rPr>
                <w:rFonts w:ascii="Times New Roman" w:hAnsi="Times New Roman"/>
                <w:sz w:val="20"/>
              </w:rPr>
              <w:t>LOẠI BỎ xu hướng (b→−0,004)</w:t>
            </w:r>
          </w:p>
        </w:tc>
        <w:tc>
          <w:tcPr>
            <w:tcW w:type="dxa" w:w="2351"/>
            <w:tcW w:w="1984" w:type="dxa"/>
          </w:tcPr>
          <w:p>
            <w:r>
              <w:rPr>
                <w:rFonts w:ascii="Times New Roman" w:hAnsi="Times New Roman"/>
                <w:sz w:val="20"/>
              </w:rPr>
              <w:t>GIẢI THÍCH CHÍNH</w:t>
            </w:r>
          </w:p>
        </w:tc>
      </w:tr>
      <w:tr>
        <w:tc>
          <w:tcPr>
            <w:tcW w:type="dxa" w:w="2351"/>
            <w:tcW w:w="1984" w:type="dxa"/>
          </w:tcPr>
          <w:p>
            <w:r>
              <w:rPr>
                <w:rFonts w:ascii="Times New Roman" w:hAnsi="Times New Roman"/>
                <w:sz w:val="20"/>
              </w:rPr>
              <w:t>Mạng xã hội</w:t>
            </w:r>
          </w:p>
        </w:tc>
        <w:tc>
          <w:tcPr>
            <w:tcW w:type="dxa" w:w="2351"/>
            <w:tcW w:w="1134" w:type="dxa"/>
          </w:tcPr>
          <w:p>
            <w:r>
              <w:rPr>
                <w:rFonts w:ascii="Times New Roman" w:hAnsi="Times New Roman"/>
                <w:sz w:val="20"/>
              </w:rPr>
              <w:t>Có</w:t>
            </w:r>
          </w:p>
        </w:tc>
        <w:tc>
          <w:tcPr>
            <w:tcW w:type="dxa" w:w="2351"/>
            <w:tcW w:w="2268" w:type="dxa"/>
          </w:tcPr>
          <w:p>
            <w:r>
              <w:rPr>
                <w:rFonts w:ascii="Times New Roman" w:hAnsi="Times New Roman"/>
                <w:sz w:val="20"/>
              </w:rPr>
              <w:t>Giảm đáng kể (0,016→0,006)</w:t>
            </w:r>
          </w:p>
        </w:tc>
        <w:tc>
          <w:tcPr>
            <w:tcW w:type="dxa" w:w="2351"/>
            <w:tcW w:w="1984" w:type="dxa"/>
          </w:tcPr>
          <w:p>
            <w:r>
              <w:rPr>
                <w:rFonts w:ascii="Times New Roman" w:hAnsi="Times New Roman"/>
                <w:sz w:val="20"/>
              </w:rPr>
              <w:t>Giải thích MỘT PHẦN</w:t>
            </w:r>
          </w:p>
        </w:tc>
      </w:tr>
      <w:tr>
        <w:tc>
          <w:tcPr>
            <w:tcW w:type="dxa" w:w="2351"/>
            <w:tcW w:w="1984" w:type="dxa"/>
          </w:tcPr>
          <w:p>
            <w:r>
              <w:rPr>
                <w:rFonts w:ascii="Times New Roman" w:hAnsi="Times New Roman"/>
                <w:sz w:val="20"/>
              </w:rPr>
              <w:t>Tối ở nhà</w:t>
            </w:r>
          </w:p>
        </w:tc>
        <w:tc>
          <w:tcPr>
            <w:tcW w:type="dxa" w:w="2351"/>
            <w:tcW w:w="1134" w:type="dxa"/>
          </w:tcPr>
          <w:p>
            <w:r>
              <w:rPr>
                <w:rFonts w:ascii="Times New Roman" w:hAnsi="Times New Roman"/>
                <w:sz w:val="20"/>
              </w:rPr>
              <w:t>Có</w:t>
            </w:r>
          </w:p>
        </w:tc>
        <w:tc>
          <w:tcPr>
            <w:tcW w:type="dxa" w:w="2351"/>
            <w:tcW w:w="2268" w:type="dxa"/>
          </w:tcPr>
          <w:p>
            <w:r>
              <w:rPr>
                <w:rFonts w:ascii="Times New Roman" w:hAnsi="Times New Roman"/>
                <w:sz w:val="20"/>
              </w:rPr>
              <w:t>Giảm nhẹ</w:t>
            </w:r>
          </w:p>
        </w:tc>
        <w:tc>
          <w:tcPr>
            <w:tcW w:type="dxa" w:w="2351"/>
            <w:tcW w:w="1984" w:type="dxa"/>
          </w:tcPr>
          <w:p>
            <w:r>
              <w:rPr>
                <w:rFonts w:ascii="Times New Roman" w:hAnsi="Times New Roman"/>
                <w:sz w:val="20"/>
              </w:rPr>
              <w:t>Đóng góp nhỏ</w:t>
            </w:r>
          </w:p>
        </w:tc>
      </w:tr>
      <w:tr>
        <w:tc>
          <w:tcPr>
            <w:tcW w:type="dxa" w:w="2351"/>
            <w:tcW w:w="1984" w:type="dxa"/>
          </w:tcPr>
          <w:p>
            <w:r>
              <w:rPr>
                <w:rFonts w:ascii="Times New Roman" w:hAnsi="Times New Roman"/>
                <w:sz w:val="20"/>
              </w:rPr>
              <w:t>Cần sa</w:t>
            </w:r>
          </w:p>
        </w:tc>
        <w:tc>
          <w:tcPr>
            <w:tcW w:type="dxa" w:w="2351"/>
            <w:tcW w:w="1134" w:type="dxa"/>
          </w:tcPr>
          <w:p>
            <w:r>
              <w:rPr>
                <w:rFonts w:ascii="Times New Roman" w:hAnsi="Times New Roman"/>
                <w:sz w:val="20"/>
              </w:rPr>
              <w:t>Có (nhỏ)</w:t>
            </w:r>
          </w:p>
        </w:tc>
        <w:tc>
          <w:tcPr>
            <w:tcW w:type="dxa" w:w="2351"/>
            <w:tcW w:w="2268" w:type="dxa"/>
          </w:tcPr>
          <w:p>
            <w:r>
              <w:rPr>
                <w:rFonts w:ascii="Times New Roman" w:hAnsi="Times New Roman"/>
                <w:sz w:val="20"/>
              </w:rPr>
              <w:t>Giảm nhẹ (chỉ nữ)</w:t>
            </w:r>
          </w:p>
        </w:tc>
        <w:tc>
          <w:tcPr>
            <w:tcW w:type="dxa" w:w="2351"/>
            <w:tcW w:w="1984" w:type="dxa"/>
          </w:tcPr>
          <w:p>
            <w:r>
              <w:rPr>
                <w:rFonts w:ascii="Times New Roman" w:hAnsi="Times New Roman"/>
                <w:sz w:val="20"/>
              </w:rPr>
              <w:t>Nhỏ, chỉ nữ</w:t>
            </w:r>
          </w:p>
        </w:tc>
      </w:tr>
      <w:tr>
        <w:tc>
          <w:tcPr>
            <w:tcW w:type="dxa" w:w="2351"/>
            <w:tcW w:w="1984" w:type="dxa"/>
          </w:tcPr>
          <w:p>
            <w:r>
              <w:rPr>
                <w:rFonts w:ascii="Times New Roman" w:hAnsi="Times New Roman"/>
                <w:sz w:val="20"/>
              </w:rPr>
              <w:t>Khó khăn tài chính</w:t>
            </w:r>
          </w:p>
        </w:tc>
        <w:tc>
          <w:tcPr>
            <w:tcW w:type="dxa" w:w="2351"/>
            <w:tcW w:w="1134" w:type="dxa"/>
          </w:tcPr>
          <w:p>
            <w:r>
              <w:rPr>
                <w:rFonts w:ascii="Times New Roman" w:hAnsi="Times New Roman"/>
                <w:sz w:val="20"/>
              </w:rPr>
              <w:t>GIẢM</w:t>
            </w:r>
          </w:p>
        </w:tc>
        <w:tc>
          <w:tcPr>
            <w:tcW w:type="dxa" w:w="2351"/>
            <w:tcW w:w="2268" w:type="dxa"/>
          </w:tcPr>
          <w:p>
            <w:r>
              <w:rPr>
                <w:rFonts w:ascii="Times New Roman" w:hAnsi="Times New Roman"/>
                <w:sz w:val="20"/>
              </w:rPr>
              <w:t>Không thay đổi</w:t>
            </w:r>
          </w:p>
        </w:tc>
        <w:tc>
          <w:tcPr>
            <w:tcW w:type="dxa" w:w="2351"/>
            <w:tcW w:w="1984" w:type="dxa"/>
          </w:tcPr>
          <w:p>
            <w:r>
              <w:rPr>
                <w:rFonts w:ascii="Times New Roman" w:hAnsi="Times New Roman"/>
                <w:sz w:val="20"/>
              </w:rPr>
              <w:t>Không giải thích</w:t>
            </w:r>
          </w:p>
        </w:tc>
      </w:tr>
      <w:tr>
        <w:tc>
          <w:tcPr>
            <w:tcW w:type="dxa" w:w="2351"/>
            <w:tcW w:w="1984" w:type="dxa"/>
          </w:tcPr>
          <w:p>
            <w:r>
              <w:rPr>
                <w:rFonts w:ascii="Times New Roman" w:hAnsi="Times New Roman"/>
                <w:sz w:val="20"/>
              </w:rPr>
              <w:t>Hoạt động thể chất</w:t>
            </w:r>
          </w:p>
        </w:tc>
        <w:tc>
          <w:tcPr>
            <w:tcW w:type="dxa" w:w="2351"/>
            <w:tcW w:w="1134" w:type="dxa"/>
          </w:tcPr>
          <w:p>
            <w:r>
              <w:rPr>
                <w:rFonts w:ascii="Times New Roman" w:hAnsi="Times New Roman"/>
                <w:sz w:val="20"/>
              </w:rPr>
              <w:t>TĂNG</w:t>
            </w:r>
          </w:p>
        </w:tc>
        <w:tc>
          <w:tcPr>
            <w:tcW w:type="dxa" w:w="2351"/>
            <w:tcW w:w="2268" w:type="dxa"/>
          </w:tcPr>
          <w:p>
            <w:r>
              <w:rPr>
                <w:rFonts w:ascii="Times New Roman" w:hAnsi="Times New Roman"/>
                <w:sz w:val="20"/>
              </w:rPr>
              <w:t>Không thay đổi</w:t>
            </w:r>
          </w:p>
        </w:tc>
        <w:tc>
          <w:tcPr>
            <w:tcW w:type="dxa" w:w="2351"/>
            <w:tcW w:w="1984" w:type="dxa"/>
          </w:tcPr>
          <w:p>
            <w:r>
              <w:rPr>
                <w:rFonts w:ascii="Times New Roman" w:hAnsi="Times New Roman"/>
                <w:sz w:val="20"/>
              </w:rPr>
              <w:t>Không giải thích</w:t>
            </w:r>
          </w:p>
        </w:tc>
      </w:tr>
      <w:tr>
        <w:tc>
          <w:tcPr>
            <w:tcW w:type="dxa" w:w="2351"/>
            <w:tcW w:w="1984" w:type="dxa"/>
          </w:tcPr>
          <w:p>
            <w:r>
              <w:rPr>
                <w:rFonts w:ascii="Times New Roman" w:hAnsi="Times New Roman"/>
                <w:sz w:val="20"/>
              </w:rPr>
              <w:t>Bắt nạt</w:t>
            </w:r>
          </w:p>
        </w:tc>
        <w:tc>
          <w:tcPr>
            <w:tcW w:type="dxa" w:w="2351"/>
            <w:tcW w:w="1134" w:type="dxa"/>
          </w:tcPr>
          <w:p>
            <w:r>
              <w:rPr>
                <w:rFonts w:ascii="Times New Roman" w:hAnsi="Times New Roman"/>
                <w:sz w:val="20"/>
              </w:rPr>
              <w:t>Ổn định</w:t>
            </w:r>
          </w:p>
        </w:tc>
        <w:tc>
          <w:tcPr>
            <w:tcW w:type="dxa" w:w="2351"/>
            <w:tcW w:w="2268" w:type="dxa"/>
          </w:tcPr>
          <w:p>
            <w:r>
              <w:rPr>
                <w:rFonts w:ascii="Times New Roman" w:hAnsi="Times New Roman"/>
                <w:sz w:val="20"/>
              </w:rPr>
              <w:t>Không thay đổi</w:t>
            </w:r>
          </w:p>
        </w:tc>
        <w:tc>
          <w:tcPr>
            <w:tcW w:type="dxa" w:w="2351"/>
            <w:tcW w:w="1984" w:type="dxa"/>
          </w:tcPr>
          <w:p>
            <w:r>
              <w:rPr>
                <w:rFonts w:ascii="Times New Roman" w:hAnsi="Times New Roman"/>
                <w:sz w:val="20"/>
              </w:rPr>
              <w:t>Không giải thích</w:t>
            </w:r>
          </w:p>
        </w:tc>
      </w:tr>
      <w:tr>
        <w:tc>
          <w:tcPr>
            <w:tcW w:type="dxa" w:w="2351"/>
            <w:tcW w:w="1984" w:type="dxa"/>
          </w:tcPr>
          <w:p>
            <w:r>
              <w:rPr>
                <w:rFonts w:ascii="Times New Roman" w:hAnsi="Times New Roman"/>
                <w:sz w:val="20"/>
              </w:rPr>
              <w:t>Bất mãn cha mẹ</w:t>
            </w:r>
          </w:p>
        </w:tc>
        <w:tc>
          <w:tcPr>
            <w:tcW w:type="dxa" w:w="2351"/>
            <w:tcW w:w="1134" w:type="dxa"/>
          </w:tcPr>
          <w:p>
            <w:r>
              <w:rPr>
                <w:rFonts w:ascii="Times New Roman" w:hAnsi="Times New Roman"/>
                <w:sz w:val="20"/>
              </w:rPr>
              <w:t>Ổn định</w:t>
            </w:r>
          </w:p>
        </w:tc>
        <w:tc>
          <w:tcPr>
            <w:tcW w:type="dxa" w:w="2351"/>
            <w:tcW w:w="2268" w:type="dxa"/>
          </w:tcPr>
          <w:p>
            <w:r>
              <w:rPr>
                <w:rFonts w:ascii="Times New Roman" w:hAnsi="Times New Roman"/>
                <w:sz w:val="20"/>
              </w:rPr>
              <w:t>Không thay đổi</w:t>
            </w:r>
          </w:p>
        </w:tc>
        <w:tc>
          <w:tcPr>
            <w:tcW w:type="dxa" w:w="2351"/>
            <w:tcW w:w="1984" w:type="dxa"/>
          </w:tcPr>
          <w:p>
            <w:r>
              <w:rPr>
                <w:rFonts w:ascii="Times New Roman" w:hAnsi="Times New Roman"/>
                <w:sz w:val="20"/>
              </w:rPr>
              <w:t>Không giải thích</w:t>
            </w:r>
          </w:p>
        </w:tc>
      </w:tr>
    </w:tbl>
    <w:p>
      <w:r>
        <w:rPr>
          <w:rFonts w:ascii="Times New Roman" w:hAnsi="Times New Roman"/>
          <w:b/>
          <w:i w:val="0"/>
          <w:sz w:val="24"/>
        </w:rPr>
        <w:t>Đối chiếu liên bài</w:t>
      </w:r>
    </w:p>
    <w:p>
      <w:r>
        <w:rPr>
          <w:rFonts w:ascii="Times New Roman" w:hAnsi="Times New Roman"/>
          <w:b w:val="0"/>
          <w:i w:val="0"/>
          <w:sz w:val="24"/>
        </w:rPr>
        <w:t>Xu hướng 13 năm phù hợp với Norway 2025 (bài này), Korea 2024 (đảo chiều sau COVID), JAACAP 2024 (lo âu gấp đôi Mỹ). Bất mãn trường học phù hợp Cosma et al. (2020) ở 36 quốc gia.</w:t>
      </w:r>
    </w:p>
    <w:p>
      <w:r>
        <w:rPr>
          <w:rFonts w:ascii="Times New Roman" w:hAnsi="Times New Roman"/>
          <w:b/>
          <w:i w:val="0"/>
          <w:sz w:val="24"/>
        </w:rPr>
        <w:t>Nhận xét, phát hiện qua kết quả nghiên cứu</w:t>
      </w:r>
    </w:p>
    <w:p>
      <w:r>
        <w:rPr>
          <w:rFonts w:ascii="Times New Roman" w:hAnsi="Times New Roman"/>
          <w:b w:val="0"/>
          <w:i w:val="0"/>
          <w:sz w:val="24"/>
        </w:rPr>
        <w:t>*Bất mãn trường học — yếu tố giải thích chính.* Giữ cố định yếu tố này loại bỏ TOÀN BỘ xu hướng tăng ở nam. Cơ chế: áp lực học tập, kỳ vọng thành tích, thay đổi thực hành giáo dục.</w:t>
      </w:r>
    </w:p>
    <w:p>
      <w:r>
        <w:rPr>
          <w:rFonts w:ascii="Times New Roman" w:hAnsi="Times New Roman"/>
          <w:b w:val="0"/>
          <w:i w:val="0"/>
          <w:sz w:val="24"/>
        </w:rPr>
        <w:t>*Mạng xã hội — đóng góp một phần.* Phù hợp với Nature 2025 (Fassi et al.: VTN SKTT dùng MXH nhiều hơn, g = 0,46). Tuy nhiên, bằng chứng vẫn lẫn lộn — Li 2025 (BJCP) tìm thấy tác động dọc YẾU.</w:t>
      </w:r>
    </w:p>
    <w:p>
      <w:r>
        <w:rPr>
          <w:rFonts w:ascii="Times New Roman" w:hAnsi="Times New Roman"/>
          <w:b w:val="0"/>
          <w:i w:val="0"/>
          <w:sz w:val="24"/>
        </w:rPr>
        <w:t>*4 yếu tố KHÔNG giải thích xu hướng:* khó khăn tài chính (giảm), thể chất (tăng), bắt nạt (ổn định), bất mãn cha mẹ — rất rõ ràng.</w:t>
      </w:r>
    </w:p>
    <w:p>
      <w:r>
        <w:rPr>
          <w:rFonts w:ascii="Times New Roman" w:hAnsi="Times New Roman"/>
          <w:b/>
          <w:i w:val="0"/>
          <w:sz w:val="24"/>
        </w:rPr>
        <w:t>Kết luận</w:t>
      </w:r>
    </w:p>
    <w:p>
      <w:r>
        <w:rPr>
          <w:rFonts w:ascii="Times New Roman" w:hAnsi="Times New Roman"/>
          <w:b w:val="0"/>
          <w:i w:val="0"/>
          <w:sz w:val="24"/>
        </w:rPr>
        <w:t>Dữ liệu 979.043 VTN Na Uy qua 13 năm, cho thấy bất mãn trường học tăng và sử dụng mạng xã hội tăng là hai yếu tố giải thích chính cho xu hướng tăng căng thẳng tâm thần, gợi ý rằng can thiệp cần nhắm vào cải thiện môi trường trường học và quản lý thời gian mạng xã hội.</w:t>
      </w:r>
    </w:p>
    <w:p>
      <w:r>
        <w:rPr>
          <w:rFonts w:ascii="Times New Roman" w:hAnsi="Times New Roman"/>
          <w:b/>
          <w:color w:val="FF0000"/>
          <w:sz w:val="26"/>
        </w:rPr>
        <w:t>Phản biện</w:t>
      </w:r>
    </w:p>
    <w:p>
      <w:r>
        <w:rPr>
          <w:rFonts w:ascii="Times New Roman" w:hAnsi="Times New Roman"/>
          <w:b w:val="0"/>
          <w:color w:val="FF0000"/>
          <w:sz w:val="24"/>
        </w:rPr>
        <w:t>Social Science &amp; Medicine Q1 IF = 5,4. Mẫu cực lớn (979K). Decomposition nâng cao. Tuy nhiên, chỉ Na Uy — khác biệt văn hóa lớn với VN. Đo distress chung (HSCL), không tách lo âu riêng. Giả định nhân quả một chiều — hạn chế lớn nhất.</w:t>
      </w:r>
    </w:p>
    <w:p>
      <w:r>
        <w:rPr>
          <w:rFonts w:ascii="Times New Roman" w:hAnsi="Times New Roman"/>
          <w:b/>
          <w:color w:val="FF0000"/>
          <w:sz w:val="26"/>
        </w:rPr>
        <w:t>Hướng nghiên cứu tiếp theo</w:t>
      </w:r>
    </w:p>
    <w:p>
      <w:r>
        <w:rPr>
          <w:rFonts w:ascii="Times New Roman" w:hAnsi="Times New Roman"/>
          <w:b w:val="0"/>
          <w:color w:val="FF0000"/>
          <w:sz w:val="24"/>
        </w:rPr>
        <w:t>Áp dụng decomposition cho dữ liệu VN (Hoàng Trung Học có 2 thời điểm). So sánh vai trò bất mãn trường học ở VN vs Na Uy. Can thiệp giảm bất mãn trường học + kiểm soát MXH tại VN.</w:t>
      </w:r>
    </w:p>
    <w:p>
      <w:r>
        <w:rPr>
          <w:rFonts w:ascii="Times New Roman" w:hAnsi="Times New Roman"/>
          <w:b/>
          <w:i w:val="0"/>
          <w:sz w:val="24"/>
        </w:rPr>
        <w:t>Đánh giá: ⭐⭐⭐⭐ Cao. Q1 IF = 5,4, n = 979K, 13 năm, decomposition.</w:t>
      </w:r>
    </w:p>
    <w:p>
      <w:r>
        <w:rPr>
          <w:b/>
          <w:sz w:val="22"/>
          <w:rFonts w:ascii="Times New Roman" w:hAnsi="Times New Roman"/>
        </w:rPr>
        <w:t>Bảng 2. So sánh / Bổ sung</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D9E2F3" w:val="clear"/>
          </w:tcPr>
          <w:p>
            <w:r>
              <w:rPr>
                <w:rFonts w:ascii="Times New Roman" w:hAnsi="Times New Roman"/>
                <w:b/>
                <w:sz w:val="20"/>
              </w:rPr>
              <w:t>Yếu tố</w:t>
            </w:r>
          </w:p>
        </w:tc>
        <w:tc>
          <w:tcPr>
            <w:tcW w:type="dxa" w:w="3135"/>
            <w:shd w:fill="D9E2F3" w:val="clear"/>
          </w:tcPr>
          <w:p>
            <w:r>
              <w:rPr>
                <w:rFonts w:ascii="Times New Roman" w:hAnsi="Times New Roman"/>
                <w:b/>
                <w:sz w:val="20"/>
              </w:rPr>
              <w:t>Đóng góp</w:t>
            </w:r>
          </w:p>
        </w:tc>
        <w:tc>
          <w:tcPr>
            <w:tcW w:type="dxa" w:w="3135"/>
            <w:shd w:fill="D9E2F3" w:val="clear"/>
          </w:tcPr>
          <w:p>
            <w:r>
              <w:rPr>
                <w:rFonts w:ascii="Times New Roman" w:hAnsi="Times New Roman"/>
                <w:b/>
                <w:sz w:val="20"/>
              </w:rPr>
              <w:t>Ghi chú</w:t>
            </w:r>
          </w:p>
        </w:tc>
      </w:tr>
      <w:tr>
        <w:tc>
          <w:tcPr>
            <w:tcW w:type="dxa" w:w="3135"/>
          </w:tcPr>
          <w:p>
            <w:r>
              <w:rPr>
                <w:rFonts w:ascii="Times New Roman" w:hAnsi="Times New Roman"/>
                <w:sz w:val="20"/>
              </w:rPr>
              <w:t>Bất mãn trường học</w:t>
            </w:r>
          </w:p>
        </w:tc>
        <w:tc>
          <w:tcPr>
            <w:tcW w:type="dxa" w:w="3135"/>
          </w:tcPr>
          <w:p>
            <w:r>
              <w:rPr>
                <w:rFonts w:ascii="Times New Roman" w:hAnsi="Times New Roman"/>
                <w:sz w:val="20"/>
              </w:rPr>
              <w:t>GIẢI THÍCH CHÍNH</w:t>
            </w:r>
          </w:p>
        </w:tc>
        <w:tc>
          <w:tcPr>
            <w:tcW w:type="dxa" w:w="3135"/>
          </w:tcPr>
          <w:p>
            <w:r>
              <w:rPr>
                <w:rFonts w:ascii="Times New Roman" w:hAnsi="Times New Roman"/>
                <w:sz w:val="20"/>
              </w:rPr>
              <w:t>Loại bỏ xu hướng khi giữ cố định</w:t>
            </w:r>
          </w:p>
        </w:tc>
      </w:tr>
      <w:tr>
        <w:tc>
          <w:tcPr>
            <w:tcW w:type="dxa" w:w="3135"/>
          </w:tcPr>
          <w:p>
            <w:r>
              <w:rPr>
                <w:rFonts w:ascii="Times New Roman" w:hAnsi="Times New Roman"/>
                <w:sz w:val="20"/>
              </w:rPr>
              <w:t>Mạng xã hội</w:t>
            </w:r>
          </w:p>
        </w:tc>
        <w:tc>
          <w:tcPr>
            <w:tcW w:type="dxa" w:w="3135"/>
          </w:tcPr>
          <w:p>
            <w:r>
              <w:rPr>
                <w:rFonts w:ascii="Times New Roman" w:hAnsi="Times New Roman"/>
                <w:sz w:val="20"/>
              </w:rPr>
              <w:t>Giải thích MỘT PHẦN</w:t>
            </w:r>
          </w:p>
        </w:tc>
        <w:tc>
          <w:tcPr>
            <w:tcW w:type="dxa" w:w="3135"/>
          </w:tcPr>
          <w:p>
            <w:r>
              <w:rPr>
                <w:rFonts w:ascii="Times New Roman" w:hAnsi="Times New Roman"/>
                <w:sz w:val="20"/>
              </w:rPr>
              <w:t>b giảm 0,016→0,006</w:t>
            </w:r>
          </w:p>
        </w:tc>
      </w:tr>
      <w:tr>
        <w:tc>
          <w:tcPr>
            <w:tcW w:type="dxa" w:w="3135"/>
          </w:tcPr>
          <w:p>
            <w:r>
              <w:rPr>
                <w:rFonts w:ascii="Times New Roman" w:hAnsi="Times New Roman"/>
                <w:sz w:val="20"/>
              </w:rPr>
              <w:t>Tối ở nhà</w:t>
            </w:r>
          </w:p>
        </w:tc>
        <w:tc>
          <w:tcPr>
            <w:tcW w:type="dxa" w:w="3135"/>
          </w:tcPr>
          <w:p>
            <w:r>
              <w:rPr>
                <w:rFonts w:ascii="Times New Roman" w:hAnsi="Times New Roman"/>
                <w:sz w:val="20"/>
              </w:rPr>
              <w:t>Đóng góp nhỏ</w:t>
            </w:r>
          </w:p>
        </w:tc>
        <w:tc>
          <w:tcPr>
            <w:tcW w:type="dxa" w:w="3135"/>
          </w:tcPr>
          <w:p>
            <w:r>
              <w:rPr>
                <w:rFonts w:ascii="Times New Roman" w:hAnsi="Times New Roman"/>
                <w:sz w:val="20"/>
              </w:rPr>
            </w:r>
          </w:p>
        </w:tc>
      </w:tr>
      <w:tr>
        <w:tc>
          <w:tcPr>
            <w:tcW w:type="dxa" w:w="3135"/>
          </w:tcPr>
          <w:p>
            <w:r>
              <w:rPr>
                <w:rFonts w:ascii="Times New Roman" w:hAnsi="Times New Roman"/>
                <w:sz w:val="20"/>
              </w:rPr>
              <w:t>Khó khăn tài chính</w:t>
            </w:r>
          </w:p>
        </w:tc>
        <w:tc>
          <w:tcPr>
            <w:tcW w:type="dxa" w:w="3135"/>
          </w:tcPr>
          <w:p>
            <w:r>
              <w:rPr>
                <w:rFonts w:ascii="Times New Roman" w:hAnsi="Times New Roman"/>
                <w:sz w:val="20"/>
              </w:rPr>
              <w:t>KHÔNG giải thích</w:t>
            </w:r>
          </w:p>
        </w:tc>
        <w:tc>
          <w:tcPr>
            <w:tcW w:type="dxa" w:w="3135"/>
          </w:tcPr>
          <w:p>
            <w:r>
              <w:rPr>
                <w:rFonts w:ascii="Times New Roman" w:hAnsi="Times New Roman"/>
                <w:sz w:val="20"/>
              </w:rPr>
              <w:t>Tỷ lệ GIẢM</w:t>
            </w:r>
          </w:p>
        </w:tc>
      </w:tr>
    </w:tbl>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