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QT-23</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Xu hướng rối loạn tâm thần ở trẻ em và VTN nhận điều trị trong hệ thống SKTT công lập Hoa Kỳ » (Trends in Mental Disorders in Children and Adolescents Receiving Treatment in the State Mental Health System), do Ramin Mojtabai và Mark Olfson (2024), Tulane University và Columbia University, phân tích 13.684.154 hồ sơ trẻ em/VTN (≤17 tuổi) trong hệ thống SKTT công Mỹ (MH-CLD), 2013–2021. JAACAP, Vol. 64(8). DOI: 10.1016/j.jaac.2024.08.008.</w:t>
      </w:r>
    </w:p>
    <w:p>
      <w:r>
        <w:rPr>
          <w:rFonts w:ascii="Times New Roman" w:hAnsi="Times New Roman"/>
          <w:b/>
          <w:i w:val="0"/>
          <w:sz w:val="24"/>
        </w:rPr>
        <w:t>Phương pháp nghiên cứu</w:t>
      </w:r>
    </w:p>
    <w:p>
      <w:r>
        <w:rPr>
          <w:rFonts w:ascii="Times New Roman" w:hAnsi="Times New Roman"/>
          <w:b w:val="0"/>
          <w:i w:val="0"/>
          <w:sz w:val="24"/>
        </w:rPr>
        <w:t>Phân tích xu hướng tỷ lệ các rối loạn tâm thần được chẩn đoán trong hệ thống y tế công lập Mỹ, sử dụng dữ liệu hành chính quốc gia 8 năm. Nói cách khác, đây là phân tích xu hướng dựa trên chẩn đoán LÂM SÀNG (không phải sàng lọc) từ hệ thống dịch vụ thực tế.</w:t>
      </w:r>
    </w:p>
    <w:p>
      <w:r>
        <w:rPr>
          <w:rFonts w:ascii="Times New Roman" w:hAnsi="Times New Roman"/>
          <w:b w:val="0"/>
          <w:i w:val="0"/>
          <w:sz w:val="24"/>
        </w:rPr>
        <w:t>Dữ liệu MH-CLD (Mental Health Client-Level Data) — SAMHSA. 8 nhóm rối loạn: lo âu, trầm cảm, lưỡng cực, sang chấn/stress, ADHD, hành vi, chống đối, phát triển lan tỏa.</w:t>
      </w:r>
    </w:p>
    <w:p>
      <w:r>
        <w:rPr>
          <w:rFonts w:ascii="Times New Roman" w:hAnsi="Times New Roman"/>
          <w:b w:val="0"/>
          <w:i w:val="0"/>
          <w:sz w:val="24"/>
        </w:rPr>
        <w:t>Dữ liệu chẩn đoán lâm sàng (vị trí 1-3 trong hồ sơ). Khác với sàng lọc — phản ánh tỷ lệ ĐƯỢC CHẨN ĐOÁN thực tế.</w:t>
      </w:r>
    </w:p>
    <w:p>
      <w:r>
        <w:rPr>
          <w:rFonts w:ascii="Times New Roman" w:hAnsi="Times New Roman"/>
          <w:b w:val="0"/>
          <w:i w:val="0"/>
          <w:sz w:val="24"/>
        </w:rPr>
        <w:t>N = 13.684.154 hồ sơ, 2013–2021. Mỹ 1,6–1,9 triệu/năm. 50 tiểu bang + DC.</w:t>
      </w:r>
    </w:p>
    <w:p>
      <w:r>
        <w:rPr>
          <w:rFonts w:ascii="Times New Roman" w:hAnsi="Times New Roman"/>
          <w:b w:val="0"/>
          <w:i w:val="0"/>
          <w:sz w:val="24"/>
        </w:rPr>
        <w:t>Hồi quy logistic (AOR), điều chỉnh tuổi, giới, chủng tộc. Clustering tiểu bang. Linear splines kiểm tra COVID.</w:t>
      </w:r>
    </w:p>
    <w:p>
      <w:r>
        <w:rPr>
          <w:rFonts w:ascii="Times New Roman" w:hAnsi="Times New Roman"/>
          <w:b/>
          <w:i w:val="0"/>
          <w:sz w:val="24"/>
        </w:rPr>
        <w:t>Kết quả nghiên cứu định lượng</w:t>
      </w:r>
    </w:p>
    <w:p>
      <w:r>
        <w:rPr>
          <w:b/>
          <w:sz w:val="22"/>
          <w:rFonts w:ascii="Times New Roman" w:hAnsi="Times New Roman"/>
        </w:rPr>
        <w:t>Bảng 1. Kết quả chính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Rối loạn</w:t>
            </w:r>
          </w:p>
        </w:tc>
        <w:tc>
          <w:tcPr>
            <w:tcW w:type="dxa" w:w="1881"/>
            <w:tcW w:w="850" w:type="dxa"/>
            <w:shd w:fill="D9E2F3" w:val="clear"/>
          </w:tcPr>
          <w:p>
            <w:pPr>
              <w:jc w:val="center"/>
            </w:pPr>
            <w:r>
              <w:rPr>
                <w:rFonts w:ascii="Times New Roman" w:hAnsi="Times New Roman"/>
                <w:b/>
                <w:sz w:val="20"/>
              </w:rPr>
              <w:t>2013 (%)</w:t>
            </w:r>
          </w:p>
        </w:tc>
        <w:tc>
          <w:tcPr>
            <w:tcW w:type="dxa" w:w="1881"/>
            <w:tcW w:w="850" w:type="dxa"/>
            <w:shd w:fill="D9E2F3" w:val="clear"/>
          </w:tcPr>
          <w:p>
            <w:pPr>
              <w:jc w:val="center"/>
            </w:pPr>
            <w:r>
              <w:rPr>
                <w:rFonts w:ascii="Times New Roman" w:hAnsi="Times New Roman"/>
                <w:b/>
                <w:sz w:val="20"/>
              </w:rPr>
              <w:t>2021 (%)</w:t>
            </w:r>
          </w:p>
        </w:tc>
        <w:tc>
          <w:tcPr>
            <w:tcW w:type="dxa" w:w="1881"/>
            <w:tcW w:w="1984" w:type="dxa"/>
            <w:shd w:fill="D9E2F3" w:val="clear"/>
          </w:tcPr>
          <w:p>
            <w:pPr>
              <w:jc w:val="center"/>
            </w:pPr>
            <w:r>
              <w:rPr>
                <w:rFonts w:ascii="Times New Roman" w:hAnsi="Times New Roman"/>
                <w:b/>
                <w:sz w:val="20"/>
              </w:rPr>
              <w:t>AOR (KTC 95%)</w:t>
            </w:r>
          </w:p>
        </w:tc>
        <w:tc>
          <w:tcPr>
            <w:tcW w:type="dxa" w:w="1881"/>
            <w:tcW w:w="1701" w:type="dxa"/>
            <w:shd w:fill="D9E2F3" w:val="clear"/>
          </w:tcPr>
          <w:p>
            <w:pPr>
              <w:jc w:val="center"/>
            </w:pPr>
            <w:r>
              <w:rPr>
                <w:rFonts w:ascii="Times New Roman" w:hAnsi="Times New Roman"/>
                <w:b/>
                <w:sz w:val="20"/>
              </w:rPr>
              <w:t>Xu hướng</w:t>
            </w:r>
          </w:p>
        </w:tc>
      </w:tr>
      <w:tr>
        <w:tc>
          <w:tcPr>
            <w:tcW w:type="dxa" w:w="1881"/>
            <w:tcW w:w="1984" w:type="dxa"/>
          </w:tcPr>
          <w:p>
            <w:r>
              <w:rPr>
                <w:rFonts w:ascii="Times New Roman" w:hAnsi="Times New Roman"/>
                <w:sz w:val="20"/>
              </w:rPr>
              <w:t>Rối loạn lo âu</w:t>
            </w:r>
          </w:p>
        </w:tc>
        <w:tc>
          <w:tcPr>
            <w:tcW w:type="dxa" w:w="1881"/>
            <w:tcW w:w="850" w:type="dxa"/>
          </w:tcPr>
          <w:p>
            <w:r>
              <w:rPr>
                <w:rFonts w:ascii="Times New Roman" w:hAnsi="Times New Roman"/>
                <w:sz w:val="20"/>
              </w:rPr>
              <w:t>9,6</w:t>
            </w:r>
          </w:p>
        </w:tc>
        <w:tc>
          <w:tcPr>
            <w:tcW w:type="dxa" w:w="1881"/>
            <w:tcW w:w="850" w:type="dxa"/>
          </w:tcPr>
          <w:p>
            <w:r>
              <w:rPr>
                <w:rFonts w:ascii="Times New Roman" w:hAnsi="Times New Roman"/>
                <w:sz w:val="20"/>
              </w:rPr>
              <w:t>19,2</w:t>
            </w:r>
          </w:p>
        </w:tc>
        <w:tc>
          <w:tcPr>
            <w:tcW w:type="dxa" w:w="1881"/>
            <w:tcW w:w="1984" w:type="dxa"/>
          </w:tcPr>
          <w:p>
            <w:r>
              <w:rPr>
                <w:rFonts w:ascii="Times New Roman" w:hAnsi="Times New Roman"/>
                <w:sz w:val="20"/>
              </w:rPr>
              <w:t>2,17 (1,85–2,55)***</w:t>
            </w:r>
          </w:p>
        </w:tc>
        <w:tc>
          <w:tcPr>
            <w:tcW w:type="dxa" w:w="1881"/>
            <w:tcW w:w="1701" w:type="dxa"/>
          </w:tcPr>
          <w:p>
            <w:r>
              <w:rPr>
                <w:rFonts w:ascii="Times New Roman" w:hAnsi="Times New Roman"/>
                <w:sz w:val="20"/>
              </w:rPr>
              <w:t>↑ TĂNG GẤP ĐÔI</w:t>
            </w:r>
          </w:p>
        </w:tc>
      </w:tr>
      <w:tr>
        <w:tc>
          <w:tcPr>
            <w:tcW w:type="dxa" w:w="1881"/>
            <w:tcW w:w="1984" w:type="dxa"/>
          </w:tcPr>
          <w:p>
            <w:r>
              <w:rPr>
                <w:rFonts w:ascii="Times New Roman" w:hAnsi="Times New Roman"/>
                <w:sz w:val="20"/>
              </w:rPr>
              <w:t>Rối loạn trầm cảm</w:t>
            </w:r>
          </w:p>
        </w:tc>
        <w:tc>
          <w:tcPr>
            <w:tcW w:type="dxa" w:w="1881"/>
            <w:tcW w:w="850" w:type="dxa"/>
          </w:tcPr>
          <w:p>
            <w:r>
              <w:rPr>
                <w:rFonts w:ascii="Times New Roman" w:hAnsi="Times New Roman"/>
                <w:sz w:val="20"/>
              </w:rPr>
              <w:t>13,4</w:t>
            </w:r>
          </w:p>
        </w:tc>
        <w:tc>
          <w:tcPr>
            <w:tcW w:type="dxa" w:w="1881"/>
            <w:tcW w:w="850" w:type="dxa"/>
          </w:tcPr>
          <w:p>
            <w:r>
              <w:rPr>
                <w:rFonts w:ascii="Times New Roman" w:hAnsi="Times New Roman"/>
                <w:sz w:val="20"/>
              </w:rPr>
              <w:t>17,0</w:t>
            </w:r>
          </w:p>
        </w:tc>
        <w:tc>
          <w:tcPr>
            <w:tcW w:type="dxa" w:w="1881"/>
            <w:tcW w:w="1984" w:type="dxa"/>
          </w:tcPr>
          <w:p>
            <w:r>
              <w:rPr>
                <w:rFonts w:ascii="Times New Roman" w:hAnsi="Times New Roman"/>
                <w:sz w:val="20"/>
              </w:rPr>
              <w:t>1,20 (1,03–1,41)*</w:t>
            </w:r>
          </w:p>
        </w:tc>
        <w:tc>
          <w:tcPr>
            <w:tcW w:type="dxa" w:w="1881"/>
            <w:tcW w:w="1701" w:type="dxa"/>
          </w:tcPr>
          <w:p>
            <w:r>
              <w:rPr>
                <w:rFonts w:ascii="Times New Roman" w:hAnsi="Times New Roman"/>
                <w:sz w:val="20"/>
              </w:rPr>
              <w:t>↑ Tăng</w:t>
            </w:r>
          </w:p>
        </w:tc>
      </w:tr>
      <w:tr>
        <w:tc>
          <w:tcPr>
            <w:tcW w:type="dxa" w:w="1881"/>
            <w:tcW w:w="1984" w:type="dxa"/>
          </w:tcPr>
          <w:p>
            <w:r>
              <w:rPr>
                <w:rFonts w:ascii="Times New Roman" w:hAnsi="Times New Roman"/>
                <w:sz w:val="20"/>
              </w:rPr>
              <w:t>Sang chấn/stress</w:t>
            </w:r>
          </w:p>
        </w:tc>
        <w:tc>
          <w:tcPr>
            <w:tcW w:type="dxa" w:w="1881"/>
            <w:tcW w:w="850" w:type="dxa"/>
          </w:tcPr>
          <w:p>
            <w:r>
              <w:rPr>
                <w:rFonts w:ascii="Times New Roman" w:hAnsi="Times New Roman"/>
                <w:sz w:val="20"/>
              </w:rPr>
              <w:t>22,7</w:t>
            </w:r>
          </w:p>
        </w:tc>
        <w:tc>
          <w:tcPr>
            <w:tcW w:type="dxa" w:w="1881"/>
            <w:tcW w:w="850" w:type="dxa"/>
          </w:tcPr>
          <w:p>
            <w:r>
              <w:rPr>
                <w:rFonts w:ascii="Times New Roman" w:hAnsi="Times New Roman"/>
                <w:sz w:val="20"/>
              </w:rPr>
              <w:t>27,4</w:t>
            </w:r>
          </w:p>
        </w:tc>
        <w:tc>
          <w:tcPr>
            <w:tcW w:type="dxa" w:w="1881"/>
            <w:tcW w:w="1984" w:type="dxa"/>
          </w:tcPr>
          <w:p>
            <w:r>
              <w:rPr>
                <w:rFonts w:ascii="Times New Roman" w:hAnsi="Times New Roman"/>
                <w:sz w:val="20"/>
              </w:rPr>
              <w:t>1,31 (1,09–1,57)**</w:t>
            </w:r>
          </w:p>
        </w:tc>
        <w:tc>
          <w:tcPr>
            <w:tcW w:type="dxa" w:w="1881"/>
            <w:tcW w:w="1701" w:type="dxa"/>
          </w:tcPr>
          <w:p>
            <w:r>
              <w:rPr>
                <w:rFonts w:ascii="Times New Roman" w:hAnsi="Times New Roman"/>
                <w:sz w:val="20"/>
              </w:rPr>
              <w:t>↑ Tăng</w:t>
            </w:r>
          </w:p>
        </w:tc>
      </w:tr>
      <w:tr>
        <w:tc>
          <w:tcPr>
            <w:tcW w:type="dxa" w:w="1881"/>
            <w:tcW w:w="1984" w:type="dxa"/>
          </w:tcPr>
          <w:p>
            <w:r>
              <w:rPr>
                <w:rFonts w:ascii="Times New Roman" w:hAnsi="Times New Roman"/>
                <w:sz w:val="20"/>
              </w:rPr>
              <w:t>ADHD</w:t>
            </w:r>
          </w:p>
        </w:tc>
        <w:tc>
          <w:tcPr>
            <w:tcW w:type="dxa" w:w="1881"/>
            <w:tcW w:w="850" w:type="dxa"/>
          </w:tcPr>
          <w:p>
            <w:r>
              <w:rPr>
                <w:rFonts w:ascii="Times New Roman" w:hAnsi="Times New Roman"/>
                <w:sz w:val="20"/>
              </w:rPr>
              <w:t>29,8</w:t>
            </w:r>
          </w:p>
        </w:tc>
        <w:tc>
          <w:tcPr>
            <w:tcW w:type="dxa" w:w="1881"/>
            <w:tcW w:w="850" w:type="dxa"/>
          </w:tcPr>
          <w:p>
            <w:r>
              <w:rPr>
                <w:rFonts w:ascii="Times New Roman" w:hAnsi="Times New Roman"/>
                <w:sz w:val="20"/>
              </w:rPr>
              <w:t>25,3</w:t>
            </w:r>
          </w:p>
        </w:tc>
        <w:tc>
          <w:tcPr>
            <w:tcW w:type="dxa" w:w="1881"/>
            <w:tcW w:w="1984" w:type="dxa"/>
          </w:tcPr>
          <w:p>
            <w:r>
              <w:rPr>
                <w:rFonts w:ascii="Times New Roman" w:hAnsi="Times New Roman"/>
                <w:sz w:val="20"/>
              </w:rPr>
              <w:t>0,90 (0,77–1,06)</w:t>
            </w:r>
          </w:p>
        </w:tc>
        <w:tc>
          <w:tcPr>
            <w:tcW w:type="dxa" w:w="1881"/>
            <w:tcW w:w="1701" w:type="dxa"/>
          </w:tcPr>
          <w:p>
            <w:r>
              <w:rPr>
                <w:rFonts w:ascii="Times New Roman" w:hAnsi="Times New Roman"/>
                <w:sz w:val="20"/>
              </w:rPr>
              <w:t>— Ổn định</w:t>
            </w:r>
          </w:p>
        </w:tc>
      </w:tr>
      <w:tr>
        <w:tc>
          <w:tcPr>
            <w:tcW w:type="dxa" w:w="1881"/>
            <w:tcW w:w="1984" w:type="dxa"/>
          </w:tcPr>
          <w:p>
            <w:r>
              <w:rPr>
                <w:rFonts w:ascii="Times New Roman" w:hAnsi="Times New Roman"/>
                <w:sz w:val="20"/>
              </w:rPr>
              <w:t>Rối loạn lưỡng cực</w:t>
            </w:r>
          </w:p>
        </w:tc>
        <w:tc>
          <w:tcPr>
            <w:tcW w:type="dxa" w:w="1881"/>
            <w:tcW w:w="850" w:type="dxa"/>
          </w:tcPr>
          <w:p>
            <w:r>
              <w:rPr>
                <w:rFonts w:ascii="Times New Roman" w:hAnsi="Times New Roman"/>
                <w:sz w:val="20"/>
              </w:rPr>
              <w:t>10,0</w:t>
            </w:r>
          </w:p>
        </w:tc>
        <w:tc>
          <w:tcPr>
            <w:tcW w:type="dxa" w:w="1881"/>
            <w:tcW w:w="850" w:type="dxa"/>
          </w:tcPr>
          <w:p>
            <w:r>
              <w:rPr>
                <w:rFonts w:ascii="Times New Roman" w:hAnsi="Times New Roman"/>
                <w:sz w:val="20"/>
              </w:rPr>
              <w:t>1,3</w:t>
            </w:r>
          </w:p>
        </w:tc>
        <w:tc>
          <w:tcPr>
            <w:tcW w:type="dxa" w:w="1881"/>
            <w:tcW w:w="1984" w:type="dxa"/>
          </w:tcPr>
          <w:p>
            <w:r>
              <w:rPr>
                <w:rFonts w:ascii="Times New Roman" w:hAnsi="Times New Roman"/>
                <w:sz w:val="20"/>
              </w:rPr>
              <w:t>0,07 (0,06–0,09)***</w:t>
            </w:r>
          </w:p>
        </w:tc>
        <w:tc>
          <w:tcPr>
            <w:tcW w:type="dxa" w:w="1881"/>
            <w:tcW w:w="1701" w:type="dxa"/>
          </w:tcPr>
          <w:p>
            <w:r>
              <w:rPr>
                <w:rFonts w:ascii="Times New Roman" w:hAnsi="Times New Roman"/>
                <w:sz w:val="20"/>
              </w:rPr>
              <w:t>↓ GIẢM 8 LẦN</w:t>
            </w:r>
          </w:p>
        </w:tc>
      </w:tr>
      <w:tr>
        <w:tc>
          <w:tcPr>
            <w:tcW w:type="dxa" w:w="1881"/>
            <w:tcW w:w="1984" w:type="dxa"/>
          </w:tcPr>
          <w:p>
            <w:r>
              <w:rPr>
                <w:rFonts w:ascii="Times New Roman" w:hAnsi="Times New Roman"/>
                <w:sz w:val="20"/>
              </w:rPr>
              <w:t>Rối loạn hành vi</w:t>
            </w:r>
          </w:p>
        </w:tc>
        <w:tc>
          <w:tcPr>
            <w:tcW w:type="dxa" w:w="1881"/>
            <w:tcW w:w="850" w:type="dxa"/>
          </w:tcPr>
          <w:p>
            <w:r>
              <w:rPr>
                <w:rFonts w:ascii="Times New Roman" w:hAnsi="Times New Roman"/>
                <w:sz w:val="20"/>
              </w:rPr>
              <w:t>9,7</w:t>
            </w:r>
          </w:p>
        </w:tc>
        <w:tc>
          <w:tcPr>
            <w:tcW w:type="dxa" w:w="1881"/>
            <w:tcW w:w="850" w:type="dxa"/>
          </w:tcPr>
          <w:p>
            <w:r>
              <w:rPr>
                <w:rFonts w:ascii="Times New Roman" w:hAnsi="Times New Roman"/>
                <w:sz w:val="20"/>
              </w:rPr>
              <w:t>4,4</w:t>
            </w:r>
          </w:p>
        </w:tc>
        <w:tc>
          <w:tcPr>
            <w:tcW w:type="dxa" w:w="1881"/>
            <w:tcW w:w="1984" w:type="dxa"/>
          </w:tcPr>
          <w:p>
            <w:r>
              <w:rPr>
                <w:rFonts w:ascii="Times New Roman" w:hAnsi="Times New Roman"/>
                <w:sz w:val="20"/>
              </w:rPr>
              <w:t>0,42 (0,33–0,55)***</w:t>
            </w:r>
          </w:p>
        </w:tc>
        <w:tc>
          <w:tcPr>
            <w:tcW w:type="dxa" w:w="1881"/>
            <w:tcW w:w="1701" w:type="dxa"/>
          </w:tcPr>
          <w:p>
            <w:r>
              <w:rPr>
                <w:rFonts w:ascii="Times New Roman" w:hAnsi="Times New Roman"/>
                <w:sz w:val="20"/>
              </w:rPr>
              <w:t>↓ Giảm mạnh</w:t>
            </w:r>
          </w:p>
        </w:tc>
      </w:tr>
    </w:tbl>
    <w:p>
      <w:r>
        <w:rPr>
          <w:rFonts w:ascii="Times New Roman" w:hAnsi="Times New Roman"/>
          <w:b/>
          <w:i w:val="0"/>
          <w:sz w:val="24"/>
        </w:rPr>
        <w:t>Đối chiếu liên bài</w:t>
      </w:r>
    </w:p>
    <w:p>
      <w:r>
        <w:rPr>
          <w:rFonts w:ascii="Times New Roman" w:hAnsi="Times New Roman"/>
          <w:b w:val="0"/>
          <w:i w:val="0"/>
          <w:sz w:val="24"/>
        </w:rPr>
        <w:t>Lo âu tăng gấp đôi (AOR = 2,17) — xu hướng nhất quán toàn cầu: Norway 2025 (13 năm tăng), GBD 2025 (AAPC 0,84%), Korea 2024 (tăng sau COVID). So với V-NAMHS 2022 (chỉ 2,3% chẩn đoán) — khoảng cách khổng lồ.</w:t>
      </w:r>
    </w:p>
    <w:p>
      <w:r>
        <w:rPr>
          <w:rFonts w:ascii="Times New Roman" w:hAnsi="Times New Roman"/>
          <w:b/>
          <w:i w:val="0"/>
          <w:sz w:val="24"/>
        </w:rPr>
        <w:t>Nhận xét, phát hiện qua kết quả nghiên cứu</w:t>
      </w:r>
    </w:p>
    <w:p>
      <w:r>
        <w:rPr>
          <w:rFonts w:ascii="Times New Roman" w:hAnsi="Times New Roman"/>
          <w:b w:val="0"/>
          <w:i w:val="0"/>
          <w:sz w:val="24"/>
        </w:rPr>
        <w:t>*Lo âu — rối loạn tăng nhanh nhất.* AOR = 2,17 vượt trội trầm cảm (1,20) và sang chấn (1,31). Lo âu đang trở thành cuộc khủng hoảng SKTT hàng đầu ở trẻ em/VTN phương Tây.</w:t>
      </w:r>
    </w:p>
    <w:p>
      <w:r>
        <w:rPr>
          <w:rFonts w:ascii="Times New Roman" w:hAnsi="Times New Roman"/>
          <w:b w:val="0"/>
          <w:i w:val="0"/>
          <w:sz w:val="24"/>
        </w:rPr>
        <w:t>*Lo âu tăng mạnh nhất ở 15–17 tuổi* (AOR = 2,93 — gần gấp BA).</w:t>
      </w:r>
    </w:p>
    <w:p>
      <w:r>
        <w:rPr>
          <w:rFonts w:ascii="Times New Roman" w:hAnsi="Times New Roman"/>
          <w:b w:val="0"/>
          <w:i w:val="0"/>
          <w:sz w:val="24"/>
        </w:rPr>
        <w:t>*Lưỡng cực giảm 8 lần* — phản ánh thay đổi thực hành chẩn đoán (DSM-5, DMDD).</w:t>
      </w:r>
    </w:p>
    <w:p>
      <w:r>
        <w:rPr>
          <w:rFonts w:ascii="Times New Roman" w:hAnsi="Times New Roman"/>
          <w:b w:val="0"/>
          <w:i w:val="0"/>
          <w:sz w:val="24"/>
        </w:rPr>
        <w:t>*Dữ liệu chẩn đoán lâm sàng* — khác với sàng lọc. So với Hoa 2024 (40,6% GAD-7) và V-NAMHS (2,3% DISC-5): chênh lệch phản ánh khác biệt phương pháp đo.</w:t>
      </w:r>
    </w:p>
    <w:p>
      <w:r>
        <w:rPr>
          <w:rFonts w:ascii="Times New Roman" w:hAnsi="Times New Roman"/>
          <w:b/>
          <w:i w:val="0"/>
          <w:sz w:val="24"/>
        </w:rPr>
        <w:t>Kết luận</w:t>
      </w:r>
    </w:p>
    <w:p>
      <w:r>
        <w:rPr>
          <w:rFonts w:ascii="Times New Roman" w:hAnsi="Times New Roman"/>
          <w:b w:val="0"/>
          <w:i w:val="0"/>
          <w:sz w:val="24"/>
        </w:rPr>
        <w:t>Dữ liệu từ 13,7 triệu hồ sơ lâm sàng Mỹ, cho thấy lo âu tăng gấp đôi (AOR = 2,17) trong 8 năm — xu hướng mạnh nhất, đặc biệt ở 15–17 tuổi, gợi ý rằng lo âu đang trở thành ưu tiên SKTT hàng đầu toàn cầu. Tại VN, nơi chỉ 8,4% VTN tiếp cận dịch vụ, tỷ lệ thực có thể cao hơn nhiều so với báo cáo.</w:t>
      </w:r>
    </w:p>
    <w:p>
      <w:r>
        <w:rPr>
          <w:rFonts w:ascii="Times New Roman" w:hAnsi="Times New Roman"/>
          <w:b/>
          <w:color w:val="FF0000"/>
          <w:sz w:val="26"/>
        </w:rPr>
        <w:t>Phản biện</w:t>
      </w:r>
    </w:p>
    <w:p>
      <w:r>
        <w:rPr>
          <w:rFonts w:ascii="Times New Roman" w:hAnsi="Times New Roman"/>
          <w:b w:val="0"/>
          <w:color w:val="FF0000"/>
          <w:sz w:val="24"/>
        </w:rPr>
        <w:t>JAACAP Q1 IF ≈ 11. N = 13,7 triệu hồ sơ lâm sàng. Xu hướng 8 năm. Phân tầng tuổi/giới/chủng tộc. Tuy nhiên: chỉ trẻ ĐANG điều trị (thiên lệch chọn), không tách tăng thực vs tăng phát hiện, chỉ Mỹ.</w:t>
      </w:r>
    </w:p>
    <w:p>
      <w:r>
        <w:rPr>
          <w:rFonts w:ascii="Times New Roman" w:hAnsi="Times New Roman"/>
          <w:b/>
          <w:color w:val="FF0000"/>
          <w:sz w:val="26"/>
        </w:rPr>
        <w:t>Hướng nghiên cứu tiếp theo</w:t>
      </w:r>
    </w:p>
    <w:p>
      <w:r>
        <w:rPr>
          <w:rFonts w:ascii="Times New Roman" w:hAnsi="Times New Roman"/>
          <w:b w:val="0"/>
          <w:color w:val="FF0000"/>
          <w:sz w:val="24"/>
        </w:rPr>
        <w:t>Phân tích xu hướng tương tự từ BV Nhi TW VN. So sánh Mỹ (82,6% tiếp cận) vs VN (8,4%). Đánh giá nguyên nhân xu hướng tăng.</w:t>
      </w:r>
    </w:p>
    <w:p>
      <w:r>
        <w:rPr>
          <w:rFonts w:ascii="Times New Roman" w:hAnsi="Times New Roman"/>
          <w:b/>
          <w:i w:val="0"/>
          <w:sz w:val="24"/>
        </w:rPr>
        <w:t>Đánh giá: ⭐⭐⭐⭐⭐ Rất cao. JAACAP Q1 IF = 11, n = 13,7 triệu, chẩn đoán lâm sàng.</w:t>
      </w:r>
    </w:p>
    <w:p>
      <w:r>
        <w:rPr>
          <w:b/>
          <w:sz w:val="22"/>
          <w:rFonts w:ascii="Times New Roman" w:hAnsi="Times New Roman"/>
        </w:rPr>
        <w:t>Bảng 2. So sánh / Bổ sung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val="clear"/>
          </w:tcPr>
          <w:p>
            <w:r>
              <w:rPr>
                <w:rFonts w:ascii="Times New Roman" w:hAnsi="Times New Roman"/>
                <w:b/>
                <w:sz w:val="20"/>
              </w:rPr>
              <w:t>Nhóm tuổi</w:t>
            </w:r>
          </w:p>
        </w:tc>
        <w:tc>
          <w:tcPr>
            <w:tcW w:type="dxa" w:w="1881"/>
            <w:shd w:fill="D9E2F3" w:val="clear"/>
          </w:tcPr>
          <w:p>
            <w:r>
              <w:rPr>
                <w:rFonts w:ascii="Times New Roman" w:hAnsi="Times New Roman"/>
                <w:b/>
                <w:sz w:val="20"/>
              </w:rPr>
              <w:t>2013 (%)</w:t>
            </w:r>
          </w:p>
        </w:tc>
        <w:tc>
          <w:tcPr>
            <w:tcW w:type="dxa" w:w="1881"/>
            <w:shd w:fill="D9E2F3" w:val="clear"/>
          </w:tcPr>
          <w:p>
            <w:r>
              <w:rPr>
                <w:rFonts w:ascii="Times New Roman" w:hAnsi="Times New Roman"/>
                <w:b/>
                <w:sz w:val="20"/>
              </w:rPr>
              <w:t>2021 (%)</w:t>
            </w:r>
          </w:p>
        </w:tc>
        <w:tc>
          <w:tcPr>
            <w:tcW w:type="dxa" w:w="1881"/>
            <w:shd w:fill="D9E2F3" w:val="clear"/>
          </w:tcPr>
          <w:p>
            <w:r>
              <w:rPr>
                <w:rFonts w:ascii="Times New Roman" w:hAnsi="Times New Roman"/>
                <w:b/>
                <w:sz w:val="20"/>
              </w:rPr>
              <w:t>AOR</w:t>
            </w:r>
          </w:p>
        </w:tc>
        <w:tc>
          <w:tcPr>
            <w:tcW w:type="dxa" w:w="1881"/>
            <w:shd w:fill="D9E2F3" w:val="clear"/>
          </w:tcPr>
          <w:p>
            <w:r>
              <w:rPr>
                <w:rFonts w:ascii="Times New Roman" w:hAnsi="Times New Roman"/>
                <w:b/>
                <w:sz w:val="20"/>
              </w:rPr>
              <w:t>p</w:t>
            </w:r>
          </w:p>
        </w:tc>
      </w:tr>
      <w:tr>
        <w:tc>
          <w:tcPr>
            <w:tcW w:type="dxa" w:w="1881"/>
          </w:tcPr>
          <w:p>
            <w:r>
              <w:rPr>
                <w:rFonts w:ascii="Times New Roman" w:hAnsi="Times New Roman"/>
                <w:sz w:val="20"/>
              </w:rPr>
              <w:t>&lt;12 tuổi</w:t>
            </w:r>
          </w:p>
        </w:tc>
        <w:tc>
          <w:tcPr>
            <w:tcW w:type="dxa" w:w="1881"/>
          </w:tcPr>
          <w:p>
            <w:r>
              <w:rPr>
                <w:rFonts w:ascii="Times New Roman" w:hAnsi="Times New Roman"/>
                <w:sz w:val="20"/>
              </w:rPr>
              <w:t>9,3</w:t>
            </w:r>
          </w:p>
        </w:tc>
        <w:tc>
          <w:tcPr>
            <w:tcW w:type="dxa" w:w="1881"/>
          </w:tcPr>
          <w:p>
            <w:r>
              <w:rPr>
                <w:rFonts w:ascii="Times New Roman" w:hAnsi="Times New Roman"/>
                <w:sz w:val="20"/>
              </w:rPr>
              <w:t>14,6</w:t>
            </w:r>
          </w:p>
        </w:tc>
        <w:tc>
          <w:tcPr>
            <w:tcW w:type="dxa" w:w="1881"/>
          </w:tcPr>
          <w:p>
            <w:r>
              <w:rPr>
                <w:rFonts w:ascii="Times New Roman" w:hAnsi="Times New Roman"/>
                <w:sz w:val="20"/>
              </w:rPr>
              <w:t>1,66</w:t>
            </w:r>
          </w:p>
        </w:tc>
        <w:tc>
          <w:tcPr>
            <w:tcW w:type="dxa" w:w="1881"/>
          </w:tcPr>
          <w:p>
            <w:r>
              <w:rPr>
                <w:rFonts w:ascii="Times New Roman" w:hAnsi="Times New Roman"/>
                <w:sz w:val="20"/>
              </w:rPr>
              <w:t>&lt;0,001</w:t>
            </w:r>
          </w:p>
        </w:tc>
      </w:tr>
      <w:tr>
        <w:tc>
          <w:tcPr>
            <w:tcW w:type="dxa" w:w="1881"/>
          </w:tcPr>
          <w:p>
            <w:r>
              <w:rPr>
                <w:rFonts w:ascii="Times New Roman" w:hAnsi="Times New Roman"/>
                <w:sz w:val="20"/>
              </w:rPr>
              <w:t>12–14 tuổi</w:t>
            </w:r>
          </w:p>
        </w:tc>
        <w:tc>
          <w:tcPr>
            <w:tcW w:type="dxa" w:w="1881"/>
          </w:tcPr>
          <w:p>
            <w:r>
              <w:rPr>
                <w:rFonts w:ascii="Times New Roman" w:hAnsi="Times New Roman"/>
                <w:sz w:val="20"/>
              </w:rPr>
              <w:t>9,7</w:t>
            </w:r>
          </w:p>
        </w:tc>
        <w:tc>
          <w:tcPr>
            <w:tcW w:type="dxa" w:w="1881"/>
          </w:tcPr>
          <w:p>
            <w:r>
              <w:rPr>
                <w:rFonts w:ascii="Times New Roman" w:hAnsi="Times New Roman"/>
                <w:sz w:val="20"/>
              </w:rPr>
              <w:t>21,1</w:t>
            </w:r>
          </w:p>
        </w:tc>
        <w:tc>
          <w:tcPr>
            <w:tcW w:type="dxa" w:w="1881"/>
          </w:tcPr>
          <w:p>
            <w:r>
              <w:rPr>
                <w:rFonts w:ascii="Times New Roman" w:hAnsi="Times New Roman"/>
                <w:sz w:val="20"/>
              </w:rPr>
              <w:t>2,38</w:t>
            </w:r>
          </w:p>
        </w:tc>
        <w:tc>
          <w:tcPr>
            <w:tcW w:type="dxa" w:w="1881"/>
          </w:tcPr>
          <w:p>
            <w:r>
              <w:rPr>
                <w:rFonts w:ascii="Times New Roman" w:hAnsi="Times New Roman"/>
                <w:sz w:val="20"/>
              </w:rPr>
              <w:t>&lt;0,001</w:t>
            </w:r>
          </w:p>
        </w:tc>
      </w:tr>
      <w:tr>
        <w:tc>
          <w:tcPr>
            <w:tcW w:type="dxa" w:w="1881"/>
          </w:tcPr>
          <w:p>
            <w:r>
              <w:rPr>
                <w:rFonts w:ascii="Times New Roman" w:hAnsi="Times New Roman"/>
                <w:sz w:val="20"/>
              </w:rPr>
              <w:t>15–17 tuổi</w:t>
            </w:r>
          </w:p>
        </w:tc>
        <w:tc>
          <w:tcPr>
            <w:tcW w:type="dxa" w:w="1881"/>
          </w:tcPr>
          <w:p>
            <w:r>
              <w:rPr>
                <w:rFonts w:ascii="Times New Roman" w:hAnsi="Times New Roman"/>
                <w:sz w:val="20"/>
              </w:rPr>
              <w:t>10,1</w:t>
            </w:r>
          </w:p>
        </w:tc>
        <w:tc>
          <w:tcPr>
            <w:tcW w:type="dxa" w:w="1881"/>
          </w:tcPr>
          <w:p>
            <w:r>
              <w:rPr>
                <w:rFonts w:ascii="Times New Roman" w:hAnsi="Times New Roman"/>
                <w:sz w:val="20"/>
              </w:rPr>
              <w:t>25,4</w:t>
            </w:r>
          </w:p>
        </w:tc>
        <w:tc>
          <w:tcPr>
            <w:tcW w:type="dxa" w:w="1881"/>
          </w:tcPr>
          <w:p>
            <w:r>
              <w:rPr>
                <w:rFonts w:ascii="Times New Roman" w:hAnsi="Times New Roman"/>
                <w:sz w:val="20"/>
              </w:rPr>
              <w:t>2,93</w:t>
            </w:r>
          </w:p>
        </w:tc>
        <w:tc>
          <w:tcPr>
            <w:tcW w:type="dxa" w:w="1881"/>
          </w:tcPr>
          <w:p>
            <w:r>
              <w:rPr>
                <w:rFonts w:ascii="Times New Roman" w:hAnsi="Times New Roman"/>
                <w:sz w:val="20"/>
              </w:rPr>
              <w:t>&lt;0,001</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