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QT-24</w:t>
      </w:r>
    </w:p>
    <w:p>
      <w:r>
        <w:rPr>
          <w:rFonts w:ascii="Times New Roman" w:hAnsi="Times New Roman"/>
          <w:b/>
          <w:i w:val="0"/>
          <w:sz w:val="24"/>
        </w:rPr>
        <w:t>Tên công trình, tác giả, năm, mẫu khảo sát, đối tượng, khách thể, địa bàn khảo sát</w:t>
      </w:r>
    </w:p>
    <w:p>
      <w:r>
        <w:rPr>
          <w:rFonts w:ascii="Times New Roman" w:hAnsi="Times New Roman"/>
          <w:b w:val="0"/>
          <w:i w:val="0"/>
          <w:sz w:val="24"/>
        </w:rPr>
        <w:t>Công trình « Sức khỏe tâm thần của trẻ em và thanh niên trong khu vực WHO châu Âu » (Mental Health of Children and Young People in the WHO Europe Region), do Anna Tarasenko và cộng sự (2025), xuất bản trên The Lancet Regional Health — Europe (Q1, IF ≈ 15,0). Bài Series "Transforming Mental Health in Europe". 13 trang.</w:t>
      </w:r>
    </w:p>
    <w:p>
      <w:r>
        <w:rPr>
          <w:rFonts w:ascii="Times New Roman" w:hAnsi="Times New Roman"/>
          <w:b/>
          <w:i w:val="0"/>
          <w:sz w:val="24"/>
        </w:rPr>
        <w:t>Phương pháp nghiên cứu</w:t>
      </w:r>
    </w:p>
    <w:p>
      <w:r>
        <w:rPr>
          <w:rFonts w:ascii="Times New Roman" w:hAnsi="Times New Roman"/>
          <w:b w:val="0"/>
          <w:i w:val="0"/>
          <w:sz w:val="24"/>
        </w:rPr>
        <w:t>Tổng quan chính sách (policy review) tổng hợp dữ liệu từ nhiều nguồn trong khu vực WHO châu Âu (53 quốc gia). Nói cách khác, đây KHÔNG phải nghiên cứu gốc mà là bài phân tích tổng hợp phục vụ hoạch định chính sách.</w:t>
      </w:r>
    </w:p>
    <w:p>
      <w:r>
        <w:rPr>
          <w:rFonts w:ascii="Times New Roman" w:hAnsi="Times New Roman"/>
          <w:b w:val="0"/>
          <w:i w:val="0"/>
          <w:sz w:val="24"/>
        </w:rPr>
        <w:t>Tổng quan tài liệu cho thấy 9 triệu VTN châu Âu (10–19 tuổi) sống với rối loạn SKTT. Lo âu + trầm cảm chiếm &gt;50% tổng ca.</w:t>
      </w:r>
    </w:p>
    <w:p>
      <w:r>
        <w:rPr>
          <w:rFonts w:ascii="Times New Roman" w:hAnsi="Times New Roman"/>
          <w:b/>
          <w:i w:val="0"/>
          <w:sz w:val="24"/>
        </w:rPr>
        <w:t>Kết quả nghiên cứu định lượng</w:t>
      </w:r>
    </w:p>
    <w:p>
      <w:r>
        <w:rPr>
          <w:b/>
          <w:sz w:val="22"/>
          <w:rFonts w:ascii="Times New Roman" w:hAnsi="Times New Roman"/>
        </w:rPr>
        <w:t>Bảng 1. Kết quả chính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417" w:type="dxa"/>
            <w:shd w:fill="D9E2F3" w:val="clear"/>
          </w:tcPr>
          <w:p>
            <w:pPr>
              <w:jc w:val="center"/>
            </w:pPr>
            <w:r>
              <w:rPr>
                <w:rFonts w:ascii="Times New Roman" w:hAnsi="Times New Roman"/>
                <w:b/>
                <w:sz w:val="20"/>
              </w:rPr>
              <w:t>Lĩnh vực</w:t>
            </w:r>
          </w:p>
        </w:tc>
        <w:tc>
          <w:tcPr>
            <w:tcW w:type="dxa" w:w="2351"/>
            <w:tcW w:w="1984" w:type="dxa"/>
            <w:shd w:fill="D9E2F3" w:val="clear"/>
          </w:tcPr>
          <w:p>
            <w:pPr>
              <w:jc w:val="center"/>
            </w:pPr>
            <w:r>
              <w:rPr>
                <w:rFonts w:ascii="Times New Roman" w:hAnsi="Times New Roman"/>
                <w:b/>
                <w:sz w:val="20"/>
              </w:rPr>
              <w:t>Dữ liệu</w:t>
            </w:r>
          </w:p>
        </w:tc>
        <w:tc>
          <w:tcPr>
            <w:tcW w:type="dxa" w:w="2351"/>
            <w:tcW w:w="1701" w:type="dxa"/>
            <w:shd w:fill="D9E2F3" w:val="clear"/>
          </w:tcPr>
          <w:p>
            <w:pPr>
              <w:jc w:val="center"/>
            </w:pPr>
            <w:r>
              <w:rPr>
                <w:rFonts w:ascii="Times New Roman" w:hAnsi="Times New Roman"/>
                <w:b/>
                <w:sz w:val="20"/>
              </w:rPr>
              <w:t>Khuyến nghị</w:t>
            </w:r>
          </w:p>
        </w:tc>
        <w:tc>
          <w:tcPr>
            <w:tcW w:type="dxa" w:w="2351"/>
            <w:tcW w:w="2551" w:type="dxa"/>
            <w:shd w:fill="D9E2F3" w:val="clear"/>
          </w:tcPr>
          <w:p>
            <w:pPr>
              <w:jc w:val="center"/>
            </w:pPr>
            <w:r>
              <w:rPr>
                <w:rFonts w:ascii="Times New Roman" w:hAnsi="Times New Roman"/>
                <w:b/>
                <w:sz w:val="20"/>
              </w:rPr>
              <w:t>Ý nghĩa cho VN</w:t>
            </w:r>
          </w:p>
        </w:tc>
      </w:tr>
      <w:tr>
        <w:tc>
          <w:tcPr>
            <w:tcW w:type="dxa" w:w="2351"/>
            <w:tcW w:w="1417" w:type="dxa"/>
          </w:tcPr>
          <w:p>
            <w:r>
              <w:rPr>
                <w:rFonts w:ascii="Times New Roman" w:hAnsi="Times New Roman"/>
                <w:sz w:val="20"/>
              </w:rPr>
              <w:t>Tỷ lệ</w:t>
            </w:r>
          </w:p>
        </w:tc>
        <w:tc>
          <w:tcPr>
            <w:tcW w:type="dxa" w:w="2351"/>
            <w:tcW w:w="1984" w:type="dxa"/>
          </w:tcPr>
          <w:p>
            <w:r>
              <w:rPr>
                <w:rFonts w:ascii="Times New Roman" w:hAnsi="Times New Roman"/>
                <w:sz w:val="20"/>
              </w:rPr>
              <w:t>9 triệu VTN có RLSKTT</w:t>
            </w:r>
          </w:p>
        </w:tc>
        <w:tc>
          <w:tcPr>
            <w:tcW w:type="dxa" w:w="2351"/>
            <w:tcW w:w="1701" w:type="dxa"/>
          </w:tcPr>
          <w:p>
            <w:r>
              <w:rPr>
                <w:rFonts w:ascii="Times New Roman" w:hAnsi="Times New Roman"/>
                <w:sz w:val="20"/>
              </w:rPr>
              <w:t>Ưu tiên quốc gia</w:t>
            </w:r>
          </w:p>
        </w:tc>
        <w:tc>
          <w:tcPr>
            <w:tcW w:type="dxa" w:w="2351"/>
            <w:tcW w:w="2551" w:type="dxa"/>
          </w:tcPr>
          <w:p>
            <w:r>
              <w:rPr>
                <w:rFonts w:ascii="Times New Roman" w:hAnsi="Times New Roman"/>
                <w:sz w:val="20"/>
              </w:rPr>
              <w:t>VN: chưa có dữ liệu tổng</w:t>
            </w:r>
          </w:p>
        </w:tc>
      </w:tr>
      <w:tr>
        <w:tc>
          <w:tcPr>
            <w:tcW w:type="dxa" w:w="2351"/>
            <w:tcW w:w="1417" w:type="dxa"/>
          </w:tcPr>
          <w:p>
            <w:r>
              <w:rPr>
                <w:rFonts w:ascii="Times New Roman" w:hAnsi="Times New Roman"/>
                <w:sz w:val="20"/>
              </w:rPr>
              <w:t>Lo âu + trầm cảm</w:t>
            </w:r>
          </w:p>
        </w:tc>
        <w:tc>
          <w:tcPr>
            <w:tcW w:type="dxa" w:w="2351"/>
            <w:tcW w:w="1984" w:type="dxa"/>
          </w:tcPr>
          <w:p>
            <w:r>
              <w:rPr>
                <w:rFonts w:ascii="Times New Roman" w:hAnsi="Times New Roman"/>
                <w:sz w:val="20"/>
              </w:rPr>
              <w:t>&gt;50% tổng ca rối loạn</w:t>
            </w:r>
          </w:p>
        </w:tc>
        <w:tc>
          <w:tcPr>
            <w:tcW w:type="dxa" w:w="2351"/>
            <w:tcW w:w="1701" w:type="dxa"/>
          </w:tcPr>
          <w:p>
            <w:r>
              <w:rPr>
                <w:rFonts w:ascii="Times New Roman" w:hAnsi="Times New Roman"/>
                <w:sz w:val="20"/>
              </w:rPr>
              <w:t>Can thiệp tập trung</w:t>
            </w:r>
          </w:p>
        </w:tc>
        <w:tc>
          <w:tcPr>
            <w:tcW w:type="dxa" w:w="2351"/>
            <w:tcW w:w="2551" w:type="dxa"/>
          </w:tcPr>
          <w:p>
            <w:r>
              <w:rPr>
                <w:rFonts w:ascii="Times New Roman" w:hAnsi="Times New Roman"/>
                <w:sz w:val="20"/>
              </w:rPr>
              <w:t>Phù hợp — lo âu hàng đầu</w:t>
            </w:r>
          </w:p>
        </w:tc>
      </w:tr>
      <w:tr>
        <w:tc>
          <w:tcPr>
            <w:tcW w:type="dxa" w:w="2351"/>
            <w:tcW w:w="1417" w:type="dxa"/>
          </w:tcPr>
          <w:p>
            <w:r>
              <w:rPr>
                <w:rFonts w:ascii="Times New Roman" w:hAnsi="Times New Roman"/>
                <w:sz w:val="20"/>
              </w:rPr>
              <w:t>Trường học</w:t>
            </w:r>
          </w:p>
        </w:tc>
        <w:tc>
          <w:tcPr>
            <w:tcW w:type="dxa" w:w="2351"/>
            <w:tcW w:w="1984" w:type="dxa"/>
          </w:tcPr>
          <w:p>
            <w:r>
              <w:rPr>
                <w:rFonts w:ascii="Times New Roman" w:hAnsi="Times New Roman"/>
                <w:sz w:val="20"/>
              </w:rPr>
              <w:t>SKTT vào giáo dục</w:t>
            </w:r>
          </w:p>
        </w:tc>
        <w:tc>
          <w:tcPr>
            <w:tcW w:type="dxa" w:w="2351"/>
            <w:tcW w:w="1701" w:type="dxa"/>
          </w:tcPr>
          <w:p>
            <w:r>
              <w:rPr>
                <w:rFonts w:ascii="Times New Roman" w:hAnsi="Times New Roman"/>
                <w:sz w:val="20"/>
              </w:rPr>
              <w:t>MindMatters, SEAL</w:t>
            </w:r>
          </w:p>
        </w:tc>
        <w:tc>
          <w:tcPr>
            <w:tcW w:type="dxa" w:w="2351"/>
            <w:tcW w:w="2551" w:type="dxa"/>
          </w:tcPr>
          <w:p>
            <w:r>
              <w:rPr>
                <w:rFonts w:ascii="Times New Roman" w:hAnsi="Times New Roman"/>
                <w:sz w:val="20"/>
              </w:rPr>
              <w:t>Wen 2020: OR = 0,562 bảo vệ</w:t>
            </w:r>
          </w:p>
        </w:tc>
      </w:tr>
      <w:tr>
        <w:tc>
          <w:tcPr>
            <w:tcW w:type="dxa" w:w="2351"/>
            <w:tcW w:w="1417" w:type="dxa"/>
          </w:tcPr>
          <w:p>
            <w:r>
              <w:rPr>
                <w:rFonts w:ascii="Times New Roman" w:hAnsi="Times New Roman"/>
                <w:sz w:val="20"/>
              </w:rPr>
              <w:t>MXH</w:t>
            </w:r>
          </w:p>
        </w:tc>
        <w:tc>
          <w:tcPr>
            <w:tcW w:type="dxa" w:w="2351"/>
            <w:tcW w:w="1984" w:type="dxa"/>
          </w:tcPr>
          <w:p>
            <w:r>
              <w:rPr>
                <w:rFonts w:ascii="Times New Roman" w:hAnsi="Times New Roman"/>
                <w:sz w:val="20"/>
              </w:rPr>
              <w:t>Yếu tố nguy cơ</w:t>
            </w:r>
          </w:p>
        </w:tc>
        <w:tc>
          <w:tcPr>
            <w:tcW w:type="dxa" w:w="2351"/>
            <w:tcW w:w="1701" w:type="dxa"/>
          </w:tcPr>
          <w:p>
            <w:r>
              <w:rPr>
                <w:rFonts w:ascii="Times New Roman" w:hAnsi="Times New Roman"/>
                <w:sz w:val="20"/>
              </w:rPr>
              <w:t>Kiểm soát nội dung</w:t>
            </w:r>
          </w:p>
        </w:tc>
        <w:tc>
          <w:tcPr>
            <w:tcW w:type="dxa" w:w="2351"/>
            <w:tcW w:w="2551" w:type="dxa"/>
          </w:tcPr>
          <w:p>
            <w:r>
              <w:rPr>
                <w:rFonts w:ascii="Times New Roman" w:hAnsi="Times New Roman"/>
                <w:sz w:val="20"/>
              </w:rPr>
              <w:t>Norway 2025: giải thích xu hướng</w:t>
            </w:r>
          </w:p>
        </w:tc>
      </w:tr>
      <w:tr>
        <w:tc>
          <w:tcPr>
            <w:tcW w:type="dxa" w:w="2351"/>
            <w:tcW w:w="1417" w:type="dxa"/>
          </w:tcPr>
          <w:p>
            <w:r>
              <w:rPr>
                <w:rFonts w:ascii="Times New Roman" w:hAnsi="Times New Roman"/>
                <w:sz w:val="20"/>
              </w:rPr>
              <w:t>Dịch vụ</w:t>
            </w:r>
          </w:p>
        </w:tc>
        <w:tc>
          <w:tcPr>
            <w:tcW w:type="dxa" w:w="2351"/>
            <w:tcW w:w="1984" w:type="dxa"/>
          </w:tcPr>
          <w:p>
            <w:r>
              <w:rPr>
                <w:rFonts w:ascii="Times New Roman" w:hAnsi="Times New Roman"/>
                <w:sz w:val="20"/>
              </w:rPr>
              <w:t>16/27 nước thiếu</w:t>
            </w:r>
          </w:p>
        </w:tc>
        <w:tc>
          <w:tcPr>
            <w:tcW w:type="dxa" w:w="2351"/>
            <w:tcW w:w="1701" w:type="dxa"/>
          </w:tcPr>
          <w:p>
            <w:r>
              <w:rPr>
                <w:rFonts w:ascii="Times New Roman" w:hAnsi="Times New Roman"/>
                <w:sz w:val="20"/>
              </w:rPr>
              <w:t>Phát triển cộng đồng</w:t>
            </w:r>
          </w:p>
        </w:tc>
        <w:tc>
          <w:tcPr>
            <w:tcW w:type="dxa" w:w="2351"/>
            <w:tcW w:w="2551" w:type="dxa"/>
          </w:tcPr>
          <w:p>
            <w:r>
              <w:rPr>
                <w:rFonts w:ascii="Times New Roman" w:hAnsi="Times New Roman"/>
                <w:sz w:val="20"/>
              </w:rPr>
              <w:t>VN: 8,4% tiếp cận</w:t>
            </w:r>
          </w:p>
        </w:tc>
      </w:tr>
      <w:tr>
        <w:tc>
          <w:tcPr>
            <w:tcW w:type="dxa" w:w="2351"/>
            <w:tcW w:w="1417" w:type="dxa"/>
          </w:tcPr>
          <w:p>
            <w:r>
              <w:rPr>
                <w:rFonts w:ascii="Times New Roman" w:hAnsi="Times New Roman"/>
                <w:sz w:val="20"/>
              </w:rPr>
              <w:t>Nghịch cảnh</w:t>
            </w:r>
          </w:p>
        </w:tc>
        <w:tc>
          <w:tcPr>
            <w:tcW w:type="dxa" w:w="2351"/>
            <w:tcW w:w="1984" w:type="dxa"/>
          </w:tcPr>
          <w:p>
            <w:r>
              <w:rPr>
                <w:rFonts w:ascii="Times New Roman" w:hAnsi="Times New Roman"/>
                <w:sz w:val="20"/>
              </w:rPr>
              <w:t>ACEs → SKTT</w:t>
            </w:r>
          </w:p>
        </w:tc>
        <w:tc>
          <w:tcPr>
            <w:tcW w:type="dxa" w:w="2351"/>
            <w:tcW w:w="1701" w:type="dxa"/>
          </w:tcPr>
          <w:p>
            <w:r>
              <w:rPr>
                <w:rFonts w:ascii="Times New Roman" w:hAnsi="Times New Roman"/>
                <w:sz w:val="20"/>
              </w:rPr>
              <w:t>Sàng lọc + can thiệp</w:t>
            </w:r>
          </w:p>
        </w:tc>
        <w:tc>
          <w:tcPr>
            <w:tcW w:type="dxa" w:w="2351"/>
            <w:tcW w:w="2551" w:type="dxa"/>
          </w:tcPr>
          <w:p>
            <w:r>
              <w:rPr>
                <w:rFonts w:ascii="Times New Roman" w:hAnsi="Times New Roman"/>
                <w:sz w:val="20"/>
              </w:rPr>
              <w:t>Ngô Anh Vinh 2024: ACEs ở DTTS</w:t>
            </w:r>
          </w:p>
        </w:tc>
      </w:tr>
    </w:tbl>
    <w:p>
      <w:r>
        <w:rPr>
          <w:rFonts w:ascii="Times New Roman" w:hAnsi="Times New Roman"/>
          <w:b/>
          <w:i w:val="0"/>
          <w:sz w:val="24"/>
        </w:rPr>
        <w:t>Đối chiếu liên bài</w:t>
      </w:r>
    </w:p>
    <w:p>
      <w:r>
        <w:rPr>
          <w:rFonts w:ascii="Times New Roman" w:hAnsi="Times New Roman"/>
          <w:b w:val="0"/>
          <w:i w:val="0"/>
          <w:sz w:val="24"/>
        </w:rPr>
        <w:t>Con số 9 triệu VTN châu Âu cho thấy quy mô vấn đề. So sánh: ASEAN 80,4 triệu ca rối loạn (GBD 2025). Tại VN, chỉ 8,4% tiếp cận dịch vụ vs hệ thống phát triển của châu Âu.</w:t>
      </w:r>
    </w:p>
    <w:p>
      <w:r>
        <w:rPr>
          <w:rFonts w:ascii="Times New Roman" w:hAnsi="Times New Roman"/>
          <w:b/>
          <w:i w:val="0"/>
          <w:sz w:val="24"/>
        </w:rPr>
        <w:t>Nhận xét, phát hiện qua kết quả nghiên cứu</w:t>
      </w:r>
    </w:p>
    <w:p>
      <w:r>
        <w:rPr>
          <w:rFonts w:ascii="Times New Roman" w:hAnsi="Times New Roman"/>
          <w:b w:val="0"/>
          <w:i w:val="0"/>
          <w:sz w:val="24"/>
        </w:rPr>
        <w:t>*Khuyến nghị tích hợp SKTT vào giáo dục* — phù hợp Wen 2020 (hỗ trợ trường OR = 0,562) và Zhameden 2025 (can thiệp trường LMIC).</w:t>
      </w:r>
    </w:p>
    <w:p>
      <w:r>
        <w:rPr>
          <w:rFonts w:ascii="Times New Roman" w:hAnsi="Times New Roman"/>
          <w:b w:val="0"/>
          <w:i w:val="0"/>
          <w:sz w:val="24"/>
        </w:rPr>
        <w:t>*Lo âu + trầm cảm &gt; 50% ca rối loạn* — xác nhận lo âu là vấn đề hàng đầu, phù hợp JAACAP 2024 và tất cả NC VN.</w:t>
      </w:r>
    </w:p>
    <w:p>
      <w:r>
        <w:rPr>
          <w:rFonts w:ascii="Times New Roman" w:hAnsi="Times New Roman"/>
          <w:b w:val="0"/>
          <w:i w:val="0"/>
          <w:sz w:val="24"/>
        </w:rPr>
        <w:t>*Chỉ 5/53 nước có tổ chức đa ngành cho SKTT* — ngay cả châu Âu cũng thiếu. VN cần học từ mô hình Bắc Âu (bottom-up).</w:t>
      </w:r>
    </w:p>
    <w:p>
      <w:r>
        <w:rPr>
          <w:rFonts w:ascii="Times New Roman" w:hAnsi="Times New Roman"/>
          <w:b/>
          <w:i w:val="0"/>
          <w:sz w:val="24"/>
        </w:rPr>
        <w:t>Kết luận</w:t>
      </w:r>
    </w:p>
    <w:p>
      <w:r>
        <w:rPr>
          <w:rFonts w:ascii="Times New Roman" w:hAnsi="Times New Roman"/>
          <w:b w:val="0"/>
          <w:i w:val="0"/>
          <w:sz w:val="24"/>
        </w:rPr>
        <w:t>Dữ liệu tổng hợp WHO châu Âu, cho thấy 9 triệu VTN đang sống với rối loạn SKTT và lo âu chiếm &gt; 50% tổng ca, gợi ý rằng tích hợp SKTT vào hệ thống giáo dục và y tế là chiến lược thiết yếu — bài học cho VN trong bối cảnh xây dựng chương trình SKTT học đường.</w:t>
      </w:r>
    </w:p>
    <w:p>
      <w:r>
        <w:rPr>
          <w:rFonts w:ascii="Times New Roman" w:hAnsi="Times New Roman"/>
          <w:b/>
          <w:color w:val="FF0000"/>
          <w:sz w:val="26"/>
        </w:rPr>
        <w:t>Phản biện</w:t>
      </w:r>
    </w:p>
    <w:p>
      <w:r>
        <w:rPr>
          <w:rFonts w:ascii="Times New Roman" w:hAnsi="Times New Roman"/>
          <w:b w:val="0"/>
          <w:color w:val="FF0000"/>
          <w:sz w:val="24"/>
        </w:rPr>
        <w:t>Lancet Regional Health Europe Q1 IF = 15. Phạm vi 53 quốc gia. Bài Series chính sách. Tuy nhiên: KHÔNG phải NC gốc — thiếu số liệu chi tiết từng nước. Bối cảnh châu Âu (dịch vụ phát triển) khác VN.</w:t>
      </w:r>
    </w:p>
    <w:p>
      <w:r>
        <w:rPr>
          <w:rFonts w:ascii="Times New Roman" w:hAnsi="Times New Roman"/>
          <w:b/>
          <w:color w:val="FF0000"/>
          <w:sz w:val="26"/>
        </w:rPr>
        <w:t>Hướng nghiên cứu tiếp theo</w:t>
      </w:r>
    </w:p>
    <w:p>
      <w:r>
        <w:rPr>
          <w:rFonts w:ascii="Times New Roman" w:hAnsi="Times New Roman"/>
          <w:b w:val="0"/>
          <w:color w:val="FF0000"/>
          <w:sz w:val="24"/>
        </w:rPr>
        <w:t>Tổng quan tương tự cho ASEAN/VN. So sánh mô hình châu Âu vs VN. Đánh giá chi phí–hiệu quả can thiệp SKTT trường cho VN.</w:t>
      </w:r>
    </w:p>
    <w:p>
      <w:r>
        <w:rPr>
          <w:rFonts w:ascii="Times New Roman" w:hAnsi="Times New Roman"/>
          <w:b/>
          <w:i w:val="0"/>
          <w:sz w:val="24"/>
        </w:rPr>
        <w:t>Đánh giá: ⭐⭐⭐⭐⭐ Rất cao. Lancet Q1 IF = 15, 53 quốc gia, hướng chính sách.</w:t>
      </w:r>
    </w:p>
    <w:p>
      <w:r>
        <w:rPr>
          <w:b/>
          <w:sz w:val="22"/>
          <w:rFonts w:ascii="Times New Roman" w:hAnsi="Times New Roman"/>
        </w:rPr>
        <w:t>Bảng 2. So sánh / Bổ sung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b/>
                <w:sz w:val="20"/>
              </w:rPr>
              <w:t>Khuyến nghị</w:t>
            </w:r>
          </w:p>
        </w:tc>
        <w:tc>
          <w:tcPr>
            <w:tcW w:type="dxa" w:w="3135"/>
            <w:shd w:fill="D9E2F3" w:val="clear"/>
          </w:tcPr>
          <w:p>
            <w:r>
              <w:rPr>
                <w:rFonts w:ascii="Times New Roman" w:hAnsi="Times New Roman"/>
                <w:b/>
                <w:sz w:val="20"/>
              </w:rPr>
              <w:t>Nội dung</w:t>
            </w:r>
          </w:p>
        </w:tc>
        <w:tc>
          <w:tcPr>
            <w:tcW w:type="dxa" w:w="3135"/>
            <w:shd w:fill="D9E2F3" w:val="clear"/>
          </w:tcPr>
          <w:p>
            <w:r>
              <w:rPr>
                <w:rFonts w:ascii="Times New Roman" w:hAnsi="Times New Roman"/>
                <w:b/>
                <w:sz w:val="20"/>
              </w:rPr>
              <w:t>Ý nghĩa cho VN</w:t>
            </w:r>
          </w:p>
        </w:tc>
      </w:tr>
      <w:tr>
        <w:tc>
          <w:tcPr>
            <w:tcW w:type="dxa" w:w="3135"/>
          </w:tcPr>
          <w:p>
            <w:r>
              <w:rPr>
                <w:rFonts w:ascii="Times New Roman" w:hAnsi="Times New Roman"/>
                <w:sz w:val="20"/>
              </w:rPr>
              <w:t>Trường học</w:t>
            </w:r>
          </w:p>
        </w:tc>
        <w:tc>
          <w:tcPr>
            <w:tcW w:type="dxa" w:w="3135"/>
          </w:tcPr>
          <w:p>
            <w:r>
              <w:rPr>
                <w:rFonts w:ascii="Times New Roman" w:hAnsi="Times New Roman"/>
                <w:sz w:val="20"/>
              </w:rPr>
              <w:t>Tích hợp SKTT vào giáo dục</w:t>
            </w:r>
          </w:p>
        </w:tc>
        <w:tc>
          <w:tcPr>
            <w:tcW w:type="dxa" w:w="3135"/>
          </w:tcPr>
          <w:p>
            <w:r>
              <w:rPr>
                <w:rFonts w:ascii="Times New Roman" w:hAnsi="Times New Roman"/>
                <w:sz w:val="20"/>
              </w:rPr>
              <w:t>Wen 2020: OR = 0,562</w:t>
            </w:r>
          </w:p>
        </w:tc>
      </w:tr>
      <w:tr>
        <w:tc>
          <w:tcPr>
            <w:tcW w:type="dxa" w:w="3135"/>
          </w:tcPr>
          <w:p>
            <w:r>
              <w:rPr>
                <w:rFonts w:ascii="Times New Roman" w:hAnsi="Times New Roman"/>
                <w:sz w:val="20"/>
              </w:rPr>
              <w:t>Dịch vụ</w:t>
            </w:r>
          </w:p>
        </w:tc>
        <w:tc>
          <w:tcPr>
            <w:tcW w:type="dxa" w:w="3135"/>
          </w:tcPr>
          <w:p>
            <w:r>
              <w:rPr>
                <w:rFonts w:ascii="Times New Roman" w:hAnsi="Times New Roman"/>
                <w:sz w:val="20"/>
              </w:rPr>
              <w:t>Phát triển cộng đồng</w:t>
            </w:r>
          </w:p>
        </w:tc>
        <w:tc>
          <w:tcPr>
            <w:tcW w:type="dxa" w:w="3135"/>
          </w:tcPr>
          <w:p>
            <w:r>
              <w:rPr>
                <w:rFonts w:ascii="Times New Roman" w:hAnsi="Times New Roman"/>
                <w:sz w:val="20"/>
              </w:rPr>
              <w:t>VN: 8,4% tiếp cận</w:t>
            </w:r>
          </w:p>
        </w:tc>
      </w:tr>
      <w:tr>
        <w:tc>
          <w:tcPr>
            <w:tcW w:type="dxa" w:w="3135"/>
          </w:tcPr>
          <w:p>
            <w:r>
              <w:rPr>
                <w:rFonts w:ascii="Times New Roman" w:hAnsi="Times New Roman"/>
                <w:sz w:val="20"/>
              </w:rPr>
              <w:t>MXH</w:t>
            </w:r>
          </w:p>
        </w:tc>
        <w:tc>
          <w:tcPr>
            <w:tcW w:type="dxa" w:w="3135"/>
          </w:tcPr>
          <w:p>
            <w:r>
              <w:rPr>
                <w:rFonts w:ascii="Times New Roman" w:hAnsi="Times New Roman"/>
                <w:sz w:val="20"/>
              </w:rPr>
              <w:t>Kiểm soát, giáo dục kỹ năng số</w:t>
            </w:r>
          </w:p>
        </w:tc>
        <w:tc>
          <w:tcPr>
            <w:tcW w:type="dxa" w:w="3135"/>
          </w:tcPr>
          <w:p>
            <w:r>
              <w:rPr>
                <w:rFonts w:ascii="Times New Roman" w:hAnsi="Times New Roman"/>
                <w:sz w:val="20"/>
              </w:rPr>
              <w:t>Norway 2025</w:t>
            </w:r>
          </w:p>
        </w:tc>
      </w:tr>
      <w:tr>
        <w:tc>
          <w:tcPr>
            <w:tcW w:type="dxa" w:w="3135"/>
          </w:tcPr>
          <w:p>
            <w:r>
              <w:rPr>
                <w:rFonts w:ascii="Times New Roman" w:hAnsi="Times New Roman"/>
                <w:sz w:val="20"/>
              </w:rPr>
              <w:t>Nghịch cảnh</w:t>
            </w:r>
          </w:p>
        </w:tc>
        <w:tc>
          <w:tcPr>
            <w:tcW w:type="dxa" w:w="3135"/>
          </w:tcPr>
          <w:p>
            <w:r>
              <w:rPr>
                <w:rFonts w:ascii="Times New Roman" w:hAnsi="Times New Roman"/>
                <w:sz w:val="20"/>
              </w:rPr>
              <w:t>Sàng lọc ACEs + can thiệp</w:t>
            </w:r>
          </w:p>
        </w:tc>
        <w:tc>
          <w:tcPr>
            <w:tcW w:type="dxa" w:w="3135"/>
          </w:tcPr>
          <w:p>
            <w:r>
              <w:rPr>
                <w:rFonts w:ascii="Times New Roman" w:hAnsi="Times New Roman"/>
                <w:sz w:val="20"/>
              </w:rPr>
              <w:t>Ngô Anh Vinh 2024</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