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QT-25</w:t>
      </w:r>
    </w:p>
    <w:p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r>
        <w:rPr>
          <w:rFonts w:ascii="Times New Roman" w:hAnsi="Times New Roman"/>
          <w:b w:val="0"/>
          <w:i w:val="0"/>
          <w:sz w:val="24"/>
        </w:rPr>
        <w:t>Công trình « Sức khỏe tâm thần toàn diện của VTN và người trưởng thành mới nổi tại Úc » (The Complete Mental Health of Australia's Adolescents and Emerging Adults), do Dimity Crisp, Debra Rickwood, Richard Burns và Emily Bariola (2025), Đại học Canberra và Đại học Quốc gia Úc, 3 khảo sát quốc gia: 2018 (n=3.721), 2020 (n=974), 2022 (n=961), VTN 12–25 tuổi. Epidemiology and Psychiatric Sciences, 34, e16. DOI: 10.1017/S2045796025000083.</w:t>
      </w:r>
    </w:p>
    <w:p>
      <w:r>
        <w:rPr>
          <w:rFonts w:ascii="Times New Roman" w:hAnsi="Times New Roman"/>
          <w:b/>
          <w:i w:val="0"/>
          <w:sz w:val="24"/>
        </w:rPr>
        <w:t>Phương pháp nghiên cứu</w:t>
      </w:r>
    </w:p>
    <w:p>
      <w:r>
        <w:rPr>
          <w:rFonts w:ascii="Times New Roman" w:hAnsi="Times New Roman"/>
          <w:b w:val="0"/>
          <w:i w:val="0"/>
          <w:sz w:val="24"/>
        </w:rPr>
        <w:t>Sử dụng khung Sức khỏe Tâm thần Toàn diện (CMH — Complete Mental Health) của Keyes — đo CẢ bệnh tật (K10) VÀ hạnh phúc (MHC-SF). Nói cách khác, thay vì chỉ hỏi "bạn có bệnh không?", đo thêm "bạn có hạnh phúc không?", tạo ra 6 trạng thái SKTT.</w:t>
      </w:r>
    </w:p>
    <w:p>
      <w:r>
        <w:rPr>
          <w:rFonts w:ascii="Times New Roman" w:hAnsi="Times New Roman"/>
          <w:b w:val="0"/>
          <w:i w:val="0"/>
          <w:sz w:val="24"/>
        </w:rPr>
        <w:t>K10 (Kessler-10): 10 mục, đo căng thẳng tâm lý. MHC-SF (Mental Health Continuum Short Form): 14 mục, đo hạnh phúc. 6 trạng thái CMH: Flourishing, Middling, Languishing, Struggling, Stumbling, Floundering.</w:t>
      </w:r>
    </w:p>
    <w:p>
      <w:r>
        <w:rPr>
          <w:rFonts w:ascii="Times New Roman" w:hAnsi="Times New Roman"/>
          <w:b w:val="0"/>
          <w:i w:val="0"/>
          <w:sz w:val="24"/>
        </w:rPr>
        <w:t>Tổng quan cho thấy NC SKTT chủ yếu tập trung vào bệnh tật — thiếu đánh giá SKTT tích cực.</w:t>
      </w:r>
    </w:p>
    <w:p>
      <w:r>
        <w:rPr>
          <w:rFonts w:ascii="Times New Roman" w:hAnsi="Times New Roman"/>
          <w:b w:val="0"/>
          <w:i w:val="0"/>
          <w:sz w:val="24"/>
        </w:rPr>
        <w:t>Thiết kế cắt ngang lặp lại. 3 khảo sát quốc gia: 2018 (n=3.721), 2020 (n=974), 2022 (n=961). Phỏng vấn điện thoại CATI. Mẫu quota.</w:t>
      </w:r>
    </w:p>
    <w:p>
      <w:r>
        <w:rPr>
          <w:rFonts w:ascii="Times New Roman" w:hAnsi="Times New Roman"/>
          <w:b w:val="0"/>
          <w:i w:val="0"/>
          <w:sz w:val="24"/>
        </w:rPr>
        <w:t>ANOVA, hồi quy đa thức. Phân tích theo năm, tuổi, giới.</w:t>
      </w:r>
    </w:p>
    <w:p>
      <w:r>
        <w:rPr>
          <w:rFonts w:ascii="Times New Roman" w:hAnsi="Times New Roman"/>
          <w:b/>
          <w:i w:val="0"/>
          <w:sz w:val="24"/>
        </w:rPr>
        <w:t>Kết quả nghiên cứu định lượng</w:t>
      </w:r>
    </w:p>
    <w:p>
      <w:r>
        <w:rPr>
          <w:b/>
          <w:sz w:val="22"/>
          <w:rFonts w:ascii="Times New Roman" w:hAnsi="Times New Roman"/>
        </w:rPr>
        <w:t>Bảng 1. Trạng thái CMH 2018–2022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Trạng thái</w:t>
            </w:r>
          </w:p>
        </w:tc>
        <w:tc>
          <w:tcPr>
            <w:tcW w:type="dxa" w:w="188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2018 (%)</w:t>
            </w:r>
          </w:p>
        </w:tc>
        <w:tc>
          <w:tcPr>
            <w:tcW w:type="dxa" w:w="188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2022 (%)</w:t>
            </w:r>
          </w:p>
        </w:tc>
        <w:tc>
          <w:tcPr>
            <w:tcW w:type="dxa" w:w="188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Xu hướng</w:t>
            </w:r>
          </w:p>
        </w:tc>
        <w:tc>
          <w:tcPr>
            <w:tcW w:type="dxa" w:w="188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Ý nghĩa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Flourishing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53,0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44,4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↓ GIẢM (p&lt;0,001)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Ít hạnh phúc + không bệnh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Stumbling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19,3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27,3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↑ TĂNG MẠNH (p&lt;0,001)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TB hạnh phúc + có bệnh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Struggling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9,1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10,2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— Ổn định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Hạnh phúc + có bệnh</w:t>
            </w:r>
          </w:p>
        </w:tc>
      </w:tr>
      <w:tr>
        <w:tc>
          <w:tcPr>
            <w:tcW w:type="dxa" w:w="188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K10 cao/rất cao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30,7</w:t>
            </w:r>
          </w:p>
        </w:tc>
        <w:tc>
          <w:tcPr>
            <w:tcW w:type="dxa" w:w="188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40,7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↑ TĂNG</w:t>
            </w:r>
          </w:p>
        </w:tc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Căng thẳng tâm lý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b/>
          <w:sz w:val="22"/>
          <w:rFonts w:ascii="Times New Roman" w:hAnsi="Times New Roman"/>
        </w:rPr>
        <w:t>Bảng 2. Flourishing theo giới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Giới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Flourishing 2018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Flourishing 2022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Chênh lệch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Nam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58,3%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52,2%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↓ 6,1 điểm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Nữ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47,9%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36,3%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↓ 11,6 điểm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Khoảng cách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10,4 điểm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15,9 điểm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MỞ RỘNG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Đối chiếu liên bài</w:t>
      </w:r>
    </w:p>
    <w:p>
      <w:r>
        <w:rPr>
          <w:rFonts w:ascii="Times New Roman" w:hAnsi="Times New Roman"/>
          <w:b w:val="0"/>
          <w:i w:val="0"/>
          <w:sz w:val="24"/>
        </w:rPr>
        <w:t>Xu hướng flourishing giảm phù hợp: Norway 2025 (distress tăng 13 năm), JAACAP 2024 (lo âu gấp đôi), Ireland 2024 (trầm cảm/lo âu tăng 2012–2019). Khoảng cách giới mở rộng phù hợp xu hướng toàn cầu.</w:t>
      </w:r>
    </w:p>
    <w:p>
      <w:r>
        <w:rPr>
          <w:rFonts w:ascii="Times New Roman" w:hAnsi="Times New Roman"/>
          <w:b/>
          <w:i w:val="0"/>
          <w:sz w:val="24"/>
        </w:rPr>
        <w:t>Nhận xét, phát hiện qua kết quả nghiên cứu</w:t>
      </w:r>
    </w:p>
    <w:p>
      <w:r>
        <w:rPr>
          <w:rFonts w:ascii="Times New Roman" w:hAnsi="Times New Roman"/>
          <w:b w:val="0"/>
          <w:i w:val="0"/>
          <w:sz w:val="24"/>
        </w:rPr>
        <w:t>*Flourishing giảm 53%→44,4%* — SKTT giới trẻ xấu đi CẢ VỀ tăng bệnh VÀ giảm hạnh phúc.</w:t>
      </w:r>
    </w:p>
    <w:p>
      <w:r>
        <w:rPr>
          <w:rFonts w:ascii="Times New Roman" w:hAnsi="Times New Roman"/>
          <w:b w:val="0"/>
          <w:i w:val="0"/>
          <w:sz w:val="24"/>
        </w:rPr>
        <w:t>*Khoảng cách giới MỞ RỘNG:* Nam flourishing 52,2% vs nữ 36,3% (2022) — chênh 15,9 điểm, tăng từ 10,4 điểm (2018).</w:t>
      </w:r>
    </w:p>
    <w:p>
      <w:r>
        <w:rPr>
          <w:rFonts w:ascii="Times New Roman" w:hAnsi="Times New Roman"/>
          <w:b w:val="0"/>
          <w:i w:val="0"/>
          <w:sz w:val="24"/>
        </w:rPr>
        <w:t>*Flourishing giảm theo tuổi:* 70,7% ở 12–14 → 43,3% ở 18–21 — giai đoạn chuyển tiếp quan trọng.</w:t>
      </w:r>
    </w:p>
    <w:p>
      <w:r>
        <w:rPr>
          <w:rFonts w:ascii="Times New Roman" w:hAnsi="Times New Roman"/>
          <w:b w:val="0"/>
          <w:i w:val="0"/>
          <w:sz w:val="24"/>
        </w:rPr>
        <w:t>*Mô hình CMH phát hiện "struggling":* 9–10% có bệnh nhưng VẪN hạnh phúc — hạnh phúc có thể là yếu tố bảo vệ.</w:t>
      </w:r>
    </w:p>
    <w:p>
      <w:r>
        <w:rPr>
          <w:rFonts w:ascii="Times New Roman" w:hAnsi="Times New Roman"/>
          <w:b/>
          <w:i w:val="0"/>
          <w:sz w:val="24"/>
        </w:rPr>
        <w:t>Kết luận</w:t>
      </w:r>
    </w:p>
    <w:p>
      <w:r>
        <w:rPr>
          <w:rFonts w:ascii="Times New Roman" w:hAnsi="Times New Roman"/>
          <w:b w:val="0"/>
          <w:i w:val="0"/>
          <w:sz w:val="24"/>
        </w:rPr>
        <w:t>Dữ liệu 3 khảo sát quốc gia Úc, cho thấy SKTT toàn diện giới trẻ xấu đi đáng kể (flourishing giảm, stumbling tăng, K10 cao tăng lên 40,7%), gợi ý rằng cần tiếp cận CMH toàn diện — đo cả bệnh tật và hạnh phúc — thay vì chỉ tập trung vào pathology.</w:t>
      </w:r>
    </w:p>
    <w:p>
      <w:r>
        <w:rPr>
          <w:rFonts w:ascii="Times New Roman" w:hAnsi="Times New Roman"/>
          <w:b/>
          <w:color w:val="FF0000"/>
          <w:sz w:val="26"/>
        </w:rPr>
        <w:t>Phản biện</w:t>
      </w:r>
    </w:p>
    <w:p>
      <w:r>
        <w:rPr>
          <w:rFonts w:ascii="Times New Roman" w:hAnsi="Times New Roman"/>
          <w:b w:val="0"/>
          <w:color w:val="FF0000"/>
          <w:sz w:val="24"/>
        </w:rPr>
        <w:t>EpiPsychSci Q1 IF ≈ 7. CMH toàn diện — đo cả bệnh VÀ hạnh phúc. 3 khảo sát. Tuy nhiên: chỉ Úc. Mẫu 2020-2022 nhỏ. K10 không tách lo âu riêng. CATI — có thể thiên lệch.</w:t>
      </w:r>
    </w:p>
    <w:p>
      <w:r>
        <w:rPr>
          <w:rFonts w:ascii="Times New Roman" w:hAnsi="Times New Roman"/>
          <w:b/>
          <w:color w:val="FF0000"/>
          <w:sz w:val="26"/>
        </w:rPr>
        <w:t>Hướng nghiên cứu tiếp theo</w:t>
      </w:r>
    </w:p>
    <w:p>
      <w:r>
        <w:rPr>
          <w:rFonts w:ascii="Times New Roman" w:hAnsi="Times New Roman"/>
          <w:b w:val="0"/>
          <w:color w:val="FF0000"/>
          <w:sz w:val="24"/>
        </w:rPr>
        <w:t>Áp dụng khung CMH cho VTN VN. Đo hạnh phúc song song bệnh tật. So sánh flourishing Úc vs VN.</w:t>
      </w:r>
    </w:p>
    <w:p>
      <w:r>
        <w:rPr>
          <w:rFonts w:ascii="Times New Roman" w:hAnsi="Times New Roman"/>
          <w:b/>
          <w:i w:val="0"/>
          <w:sz w:val="24"/>
        </w:rPr>
        <w:t>Đánh giá: ⭐⭐⭐⭐ Cao. Q1 IF = 7, CMH toàn diện, 3 khảo sát quốc gia.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