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QT-26</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Báo cáo « Thống kê sức khỏe tâm thần: Tỷ lệ, dịch vụ và tài trợ tại Anh » (Mental Health Statistics: Prevalence, Services and Funding in England), do Carl Baker, House of Commons Library, UK Parliament (2025). 46 trang. Nguồn chính thức Quốc hội Anh, dựa trên NHS Mental Health Survey 2025 và nhiều khảo sát quốc gia.</w:t>
      </w:r>
    </w:p>
    <w:p>
      <w:r>
        <w:rPr>
          <w:rFonts w:ascii="Times New Roman" w:hAnsi="Times New Roman"/>
          <w:b/>
          <w:color w:val="FF0000"/>
          <w:sz w:val="24"/>
        </w:rPr>
        <w:t>Phương pháp nghiên cứu</w:t>
      </w:r>
    </w:p>
    <w:p>
      <w:r>
        <w:rPr>
          <w:rFonts w:ascii="Times New Roman" w:hAnsi="Times New Roman"/>
          <w:b/>
          <w:color w:val="0070C0"/>
          <w:sz w:val="24"/>
        </w:rPr>
        <w:t>Báo cáo tổng hợp chính sách (policy briefing) từ Quốc hội Anh, sử dụng dữ liệu NHS Digital, Health Survey for England, và nhiều nguồn chính thức. Nói cách khác, đây không phải nghiên cứu gốc mà là tổng hợp dữ liệu quốc gia phục vụ hoạch định chính sách — nguồn đáng tin cậy nhất về SKTT tại Anh.</w:t>
      </w:r>
    </w:p>
    <w:p>
      <w:r>
        <w:rPr>
          <w:rFonts w:ascii="Times New Roman" w:hAnsi="Times New Roman"/>
          <w:b/>
          <w:color w:val="FF0000"/>
          <w:sz w:val="24"/>
        </w:rPr>
        <w:t>Kết quả nghiên cứu định lượng</w:t>
      </w:r>
    </w:p>
    <w:p>
      <w:r>
        <w:rPr>
          <w:rFonts w:ascii="Times New Roman" w:hAnsi="Times New Roman"/>
          <w:b/>
          <w:color w:val="0070C0"/>
          <w:sz w:val="24"/>
        </w:rPr>
        <w:t>Bảng 1. Xu hướng SKTT thanh niên Anh (NHS Survey):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835" w:type="dxa"/>
            <w:shd w:fill="D9E2F3" w:val="clear"/>
          </w:tcPr>
          <w:p>
            <w:pPr>
              <w:jc w:val="center"/>
            </w:pPr>
            <w:r>
              <w:rPr>
                <w:rFonts w:ascii="Times New Roman" w:hAnsi="Times New Roman"/>
                <w:b/>
                <w:sz w:val="20"/>
              </w:rPr>
              <w:t>Chỉ số</w:t>
            </w:r>
          </w:p>
        </w:tc>
        <w:tc>
          <w:tcPr>
            <w:tcW w:type="dxa" w:w="2351"/>
            <w:tcW w:w="1134" w:type="dxa"/>
            <w:shd w:fill="D9E2F3" w:val="clear"/>
          </w:tcPr>
          <w:p>
            <w:pPr>
              <w:jc w:val="center"/>
            </w:pPr>
            <w:r>
              <w:rPr>
                <w:rFonts w:ascii="Times New Roman" w:hAnsi="Times New Roman"/>
                <w:b/>
                <w:sz w:val="20"/>
              </w:rPr>
              <w:t>2014</w:t>
            </w:r>
          </w:p>
        </w:tc>
        <w:tc>
          <w:tcPr>
            <w:tcW w:type="dxa" w:w="2351"/>
            <w:tcW w:w="1134" w:type="dxa"/>
            <w:shd w:fill="D9E2F3" w:val="clear"/>
          </w:tcPr>
          <w:p>
            <w:pPr>
              <w:jc w:val="center"/>
            </w:pPr>
            <w:r>
              <w:rPr>
                <w:rFonts w:ascii="Times New Roman" w:hAnsi="Times New Roman"/>
                <w:b/>
                <w:sz w:val="20"/>
              </w:rPr>
              <w:t>2025</w:t>
            </w:r>
          </w:p>
        </w:tc>
        <w:tc>
          <w:tcPr>
            <w:tcW w:type="dxa" w:w="2351"/>
            <w:tcW w:w="1701" w:type="dxa"/>
            <w:shd w:fill="D9E2F3" w:val="clear"/>
          </w:tcPr>
          <w:p>
            <w:pPr>
              <w:jc w:val="center"/>
            </w:pPr>
            <w:r>
              <w:rPr>
                <w:rFonts w:ascii="Times New Roman" w:hAnsi="Times New Roman"/>
                <w:b/>
                <w:sz w:val="20"/>
              </w:rPr>
              <w:t>Thay đổi</w:t>
            </w:r>
          </w:p>
        </w:tc>
      </w:tr>
      <w:tr>
        <w:tc>
          <w:tcPr>
            <w:tcW w:type="dxa" w:w="2351"/>
            <w:tcW w:w="2835" w:type="dxa"/>
          </w:tcPr>
          <w:p>
            <w:r>
              <w:rPr>
                <w:rFonts w:ascii="Times New Roman" w:hAnsi="Times New Roman"/>
                <w:sz w:val="20"/>
              </w:rPr>
              <w:t>Rối loạn TT phổ biến (16–24 tuổi)</w:t>
            </w:r>
          </w:p>
        </w:tc>
        <w:tc>
          <w:tcPr>
            <w:tcW w:type="dxa" w:w="2351"/>
            <w:tcW w:w="1134" w:type="dxa"/>
          </w:tcPr>
          <w:p>
            <w:r>
              <w:rPr>
                <w:rFonts w:ascii="Times New Roman" w:hAnsi="Times New Roman"/>
                <w:sz w:val="20"/>
              </w:rPr>
              <w:t>18,9%</w:t>
            </w:r>
          </w:p>
        </w:tc>
        <w:tc>
          <w:tcPr>
            <w:tcW w:type="dxa" w:w="2351"/>
            <w:tcW w:w="1134" w:type="dxa"/>
          </w:tcPr>
          <w:p>
            <w:r>
              <w:rPr>
                <w:rFonts w:ascii="Times New Roman" w:hAnsi="Times New Roman"/>
                <w:sz w:val="20"/>
              </w:rPr>
              <w:t>25,8%</w:t>
            </w:r>
          </w:p>
        </w:tc>
        <w:tc>
          <w:tcPr>
            <w:tcW w:type="dxa" w:w="2351"/>
            <w:tcW w:w="1701" w:type="dxa"/>
          </w:tcPr>
          <w:p>
            <w:r>
              <w:rPr>
                <w:rFonts w:ascii="Times New Roman" w:hAnsi="Times New Roman"/>
                <w:sz w:val="20"/>
              </w:rPr>
              <w:t>+36% (11 năm)</w:t>
            </w:r>
          </w:p>
        </w:tc>
      </w:tr>
      <w:tr>
        <w:tc>
          <w:tcPr>
            <w:tcW w:type="dxa" w:w="2351"/>
            <w:tcW w:w="2835" w:type="dxa"/>
          </w:tcPr>
          <w:p>
            <w:r>
              <w:rPr>
                <w:rFonts w:ascii="Times New Roman" w:hAnsi="Times New Roman"/>
                <w:sz w:val="20"/>
              </w:rPr>
              <w:t>Nữ 16–24</w:t>
            </w:r>
          </w:p>
        </w:tc>
        <w:tc>
          <w:tcPr>
            <w:tcW w:type="dxa" w:w="2351"/>
            <w:tcW w:w="1134" w:type="dxa"/>
          </w:tcPr>
          <w:p>
            <w:r>
              <w:rPr>
                <w:rFonts w:ascii="Times New Roman" w:hAnsi="Times New Roman"/>
                <w:sz w:val="20"/>
              </w:rPr>
            </w:r>
          </w:p>
        </w:tc>
        <w:tc>
          <w:tcPr>
            <w:tcW w:type="dxa" w:w="2351"/>
            <w:tcW w:w="1134" w:type="dxa"/>
          </w:tcPr>
          <w:p>
            <w:r>
              <w:rPr>
                <w:rFonts w:ascii="Times New Roman" w:hAnsi="Times New Roman"/>
                <w:sz w:val="20"/>
              </w:rPr>
              <w:t>36,1%</w:t>
            </w:r>
          </w:p>
        </w:tc>
        <w:tc>
          <w:tcPr>
            <w:tcW w:type="dxa" w:w="2351"/>
            <w:tcW w:w="1701" w:type="dxa"/>
          </w:tcPr>
          <w:p>
            <w:r>
              <w:rPr>
                <w:rFonts w:ascii="Times New Roman" w:hAnsi="Times New Roman"/>
                <w:sz w:val="20"/>
              </w:rPr>
              <w:t>Gấp 2,2 lần nam</w:t>
            </w:r>
          </w:p>
        </w:tc>
      </w:tr>
      <w:tr>
        <w:tc>
          <w:tcPr>
            <w:tcW w:type="dxa" w:w="2351"/>
            <w:tcW w:w="2835" w:type="dxa"/>
          </w:tcPr>
          <w:p>
            <w:r>
              <w:rPr>
                <w:rFonts w:ascii="Times New Roman" w:hAnsi="Times New Roman"/>
                <w:sz w:val="20"/>
              </w:rPr>
              <w:t>Nam 16–24</w:t>
            </w:r>
          </w:p>
        </w:tc>
        <w:tc>
          <w:tcPr>
            <w:tcW w:type="dxa" w:w="2351"/>
            <w:tcW w:w="1134" w:type="dxa"/>
          </w:tcPr>
          <w:p>
            <w:r>
              <w:rPr>
                <w:rFonts w:ascii="Times New Roman" w:hAnsi="Times New Roman"/>
                <w:sz w:val="20"/>
              </w:rPr>
            </w:r>
          </w:p>
        </w:tc>
        <w:tc>
          <w:tcPr>
            <w:tcW w:type="dxa" w:w="2351"/>
            <w:tcW w:w="1134" w:type="dxa"/>
          </w:tcPr>
          <w:p>
            <w:r>
              <w:rPr>
                <w:rFonts w:ascii="Times New Roman" w:hAnsi="Times New Roman"/>
                <w:sz w:val="20"/>
              </w:rPr>
              <w:t>16,3%</w:t>
            </w:r>
          </w:p>
        </w:tc>
        <w:tc>
          <w:tcPr>
            <w:tcW w:type="dxa" w:w="2351"/>
            <w:tcW w:w="1701" w:type="dxa"/>
          </w:tcPr>
          <w:p>
            <w:r>
              <w:rPr>
                <w:rFonts w:ascii="Times New Roman" w:hAnsi="Times New Roman"/>
                <w:sz w:val="20"/>
              </w:rPr>
            </w:r>
          </w:p>
        </w:tc>
      </w:tr>
      <w:tr>
        <w:tc>
          <w:tcPr>
            <w:tcW w:type="dxa" w:w="2351"/>
            <w:tcW w:w="2835" w:type="dxa"/>
          </w:tcPr>
          <w:p>
            <w:r>
              <w:rPr>
                <w:rFonts w:ascii="Times New Roman" w:hAnsi="Times New Roman"/>
                <w:sz w:val="20"/>
              </w:rPr>
              <w:t>VTN 17–19 đủ tiêu chuẩn rối loạn TT</w:t>
            </w:r>
          </w:p>
        </w:tc>
        <w:tc>
          <w:tcPr>
            <w:tcW w:type="dxa" w:w="2351"/>
            <w:tcW w:w="1134" w:type="dxa"/>
          </w:tcPr>
          <w:p>
            <w:r>
              <w:rPr>
                <w:rFonts w:ascii="Times New Roman" w:hAnsi="Times New Roman"/>
                <w:sz w:val="20"/>
              </w:rPr>
            </w:r>
          </w:p>
        </w:tc>
        <w:tc>
          <w:tcPr>
            <w:tcW w:type="dxa" w:w="2351"/>
            <w:tcW w:w="1134" w:type="dxa"/>
          </w:tcPr>
          <w:p>
            <w:r>
              <w:rPr>
                <w:rFonts w:ascii="Times New Roman" w:hAnsi="Times New Roman"/>
                <w:sz w:val="20"/>
              </w:rPr>
              <w:t>~25%</w:t>
            </w:r>
          </w:p>
        </w:tc>
        <w:tc>
          <w:tcPr>
            <w:tcW w:type="dxa" w:w="2351"/>
            <w:tcW w:w="1701" w:type="dxa"/>
          </w:tcPr>
          <w:p>
            <w:r>
              <w:rPr>
                <w:rFonts w:ascii="Times New Roman" w:hAnsi="Times New Roman"/>
                <w:sz w:val="20"/>
              </w:rPr>
              <w:t>1/4 VTN</w:t>
            </w:r>
          </w:p>
        </w:tc>
      </w:tr>
      <w:tr>
        <w:tc>
          <w:tcPr>
            <w:tcW w:type="dxa" w:w="2351"/>
            <w:tcW w:w="2835" w:type="dxa"/>
          </w:tcPr>
          <w:p>
            <w:r>
              <w:rPr>
                <w:rFonts w:ascii="Times New Roman" w:hAnsi="Times New Roman"/>
                <w:sz w:val="20"/>
              </w:rPr>
              <w:t>Tự hại suốt đời (mọi tuổi)</w:t>
            </w:r>
          </w:p>
        </w:tc>
        <w:tc>
          <w:tcPr>
            <w:tcW w:type="dxa" w:w="2351"/>
            <w:tcW w:w="1134" w:type="dxa"/>
          </w:tcPr>
          <w:p>
            <w:r>
              <w:rPr>
                <w:rFonts w:ascii="Times New Roman" w:hAnsi="Times New Roman"/>
                <w:sz w:val="20"/>
              </w:rPr>
            </w:r>
          </w:p>
        </w:tc>
        <w:tc>
          <w:tcPr>
            <w:tcW w:type="dxa" w:w="2351"/>
            <w:tcW w:w="1134" w:type="dxa"/>
          </w:tcPr>
          <w:p>
            <w:r>
              <w:rPr>
                <w:rFonts w:ascii="Times New Roman" w:hAnsi="Times New Roman"/>
                <w:sz w:val="20"/>
              </w:rPr>
              <w:t>10,3%</w:t>
            </w:r>
          </w:p>
        </w:tc>
        <w:tc>
          <w:tcPr>
            <w:tcW w:type="dxa" w:w="2351"/>
            <w:tcW w:w="1701" w:type="dxa"/>
          </w:tcPr>
          <w:p>
            <w:r>
              <w:rPr>
                <w:rFonts w:ascii="Times New Roman" w:hAnsi="Times New Roman"/>
                <w:sz w:val="20"/>
              </w:rPr>
              <w:t>Tăng gấp 4 từ 2000</w:t>
            </w:r>
          </w:p>
        </w:tc>
      </w:tr>
      <w:tr>
        <w:tc>
          <w:tcPr>
            <w:tcW w:type="dxa" w:w="2351"/>
            <w:tcW w:w="2835" w:type="dxa"/>
          </w:tcPr>
          <w:p>
            <w:r>
              <w:rPr>
                <w:rFonts w:ascii="Times New Roman" w:hAnsi="Times New Roman"/>
                <w:sz w:val="20"/>
              </w:rPr>
              <w:t>Nữ 16–24 tự hại</w:t>
            </w:r>
          </w:p>
        </w:tc>
        <w:tc>
          <w:tcPr>
            <w:tcW w:type="dxa" w:w="2351"/>
            <w:tcW w:w="1134" w:type="dxa"/>
          </w:tcPr>
          <w:p>
            <w:r>
              <w:rPr>
                <w:rFonts w:ascii="Times New Roman" w:hAnsi="Times New Roman"/>
                <w:sz w:val="20"/>
              </w:rPr>
            </w:r>
          </w:p>
        </w:tc>
        <w:tc>
          <w:tcPr>
            <w:tcW w:type="dxa" w:w="2351"/>
            <w:tcW w:w="1134" w:type="dxa"/>
          </w:tcPr>
          <w:p>
            <w:r>
              <w:rPr>
                <w:rFonts w:ascii="Times New Roman" w:hAnsi="Times New Roman"/>
                <w:sz w:val="20"/>
              </w:rPr>
              <w:t>31,7%</w:t>
            </w:r>
          </w:p>
        </w:tc>
        <w:tc>
          <w:tcPr>
            <w:tcW w:type="dxa" w:w="2351"/>
            <w:tcW w:w="1701" w:type="dxa"/>
          </w:tcPr>
          <w:p>
            <w:r>
              <w:rPr>
                <w:rFonts w:ascii="Times New Roman" w:hAnsi="Times New Roman"/>
                <w:sz w:val="20"/>
              </w:rPr>
              <w:t>Rất cao</w:t>
            </w:r>
          </w:p>
        </w:tc>
      </w:tr>
    </w:tbl>
    <w:p/>
    <w:p>
      <w:r>
        <w:rPr>
          <w:rFonts w:ascii="Times New Roman" w:hAnsi="Times New Roman"/>
          <w:b/>
          <w:color w:val="0070C0"/>
          <w:sz w:val="24"/>
        </w:rPr>
        <w:t>Bảng 2. So sánh xu hướng Anh với các nước: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Quốc gia</w:t>
            </w:r>
          </w:p>
        </w:tc>
        <w:tc>
          <w:tcPr>
            <w:tcW w:type="dxa" w:w="2351"/>
            <w:tcW w:w="1417" w:type="dxa"/>
            <w:shd w:fill="D9E2F3" w:val="clear"/>
          </w:tcPr>
          <w:p>
            <w:pPr>
              <w:jc w:val="center"/>
            </w:pPr>
            <w:r>
              <w:rPr>
                <w:rFonts w:ascii="Times New Roman" w:hAnsi="Times New Roman"/>
                <w:b/>
                <w:sz w:val="20"/>
              </w:rPr>
              <w:t>Giai đoạn</w:t>
            </w:r>
          </w:p>
        </w:tc>
        <w:tc>
          <w:tcPr>
            <w:tcW w:type="dxa" w:w="2351"/>
            <w:tcW w:w="2268" w:type="dxa"/>
            <w:shd w:fill="D9E2F3" w:val="clear"/>
          </w:tcPr>
          <w:p>
            <w:pPr>
              <w:jc w:val="center"/>
            </w:pPr>
            <w:r>
              <w:rPr>
                <w:rFonts w:ascii="Times New Roman" w:hAnsi="Times New Roman"/>
                <w:b/>
                <w:sz w:val="20"/>
              </w:rPr>
              <w:t>Xu hướng lo âu/SKTT</w:t>
            </w:r>
          </w:p>
        </w:tc>
        <w:tc>
          <w:tcPr>
            <w:tcW w:type="dxa" w:w="2351"/>
            <w:tcW w:w="1417" w:type="dxa"/>
            <w:shd w:fill="D9E2F3" w:val="clear"/>
          </w:tcPr>
          <w:p>
            <w:pPr>
              <w:jc w:val="center"/>
            </w:pPr>
            <w:r>
              <w:rPr>
                <w:rFonts w:ascii="Times New Roman" w:hAnsi="Times New Roman"/>
                <w:b/>
                <w:sz w:val="20"/>
              </w:rPr>
              <w:t>Nguồn</w:t>
            </w:r>
          </w:p>
        </w:tc>
      </w:tr>
      <w:tr>
        <w:tc>
          <w:tcPr>
            <w:tcW w:type="dxa" w:w="2351"/>
            <w:tcW w:w="1701" w:type="dxa"/>
          </w:tcPr>
          <w:p>
            <w:r>
              <w:rPr>
                <w:rFonts w:ascii="Times New Roman" w:hAnsi="Times New Roman"/>
                <w:sz w:val="20"/>
              </w:rPr>
              <w:t>Anh (NHS)</w:t>
            </w:r>
          </w:p>
        </w:tc>
        <w:tc>
          <w:tcPr>
            <w:tcW w:type="dxa" w:w="2351"/>
            <w:tcW w:w="1417" w:type="dxa"/>
          </w:tcPr>
          <w:p>
            <w:r>
              <w:rPr>
                <w:rFonts w:ascii="Times New Roman" w:hAnsi="Times New Roman"/>
                <w:sz w:val="20"/>
              </w:rPr>
              <w:t>2014–2025</w:t>
            </w:r>
          </w:p>
        </w:tc>
        <w:tc>
          <w:tcPr>
            <w:tcW w:type="dxa" w:w="2351"/>
            <w:tcW w:w="2268" w:type="dxa"/>
          </w:tcPr>
          <w:p>
            <w:r>
              <w:rPr>
                <w:rFonts w:ascii="Times New Roman" w:hAnsi="Times New Roman"/>
                <w:sz w:val="20"/>
              </w:rPr>
              <w:t>+36% rối loạn TT 16–24</w:t>
            </w:r>
          </w:p>
        </w:tc>
        <w:tc>
          <w:tcPr>
            <w:tcW w:type="dxa" w:w="2351"/>
            <w:tcW w:w="1417" w:type="dxa"/>
          </w:tcPr>
          <w:p>
            <w:r>
              <w:rPr>
                <w:rFonts w:ascii="Times New Roman" w:hAnsi="Times New Roman"/>
                <w:sz w:val="20"/>
              </w:rPr>
              <w:t>Bài này</w:t>
            </w:r>
          </w:p>
        </w:tc>
      </w:tr>
      <w:tr>
        <w:tc>
          <w:tcPr>
            <w:tcW w:type="dxa" w:w="2351"/>
            <w:tcW w:w="1701" w:type="dxa"/>
          </w:tcPr>
          <w:p>
            <w:r>
              <w:rPr>
                <w:rFonts w:ascii="Times New Roman" w:hAnsi="Times New Roman"/>
                <w:sz w:val="20"/>
              </w:rPr>
              <w:t>Hoa Kỳ (JAACAP)</w:t>
            </w:r>
          </w:p>
        </w:tc>
        <w:tc>
          <w:tcPr>
            <w:tcW w:type="dxa" w:w="2351"/>
            <w:tcW w:w="1417" w:type="dxa"/>
          </w:tcPr>
          <w:p>
            <w:r>
              <w:rPr>
                <w:rFonts w:ascii="Times New Roman" w:hAnsi="Times New Roman"/>
                <w:sz w:val="20"/>
              </w:rPr>
              <w:t>2013–2021</w:t>
            </w:r>
          </w:p>
        </w:tc>
        <w:tc>
          <w:tcPr>
            <w:tcW w:type="dxa" w:w="2351"/>
            <w:tcW w:w="2268" w:type="dxa"/>
          </w:tcPr>
          <w:p>
            <w:r>
              <w:rPr>
                <w:rFonts w:ascii="Times New Roman" w:hAnsi="Times New Roman"/>
                <w:sz w:val="20"/>
              </w:rPr>
              <w:t>Lo âu +100% (AOR=2,17)</w:t>
            </w:r>
          </w:p>
        </w:tc>
        <w:tc>
          <w:tcPr>
            <w:tcW w:type="dxa" w:w="2351"/>
            <w:tcW w:w="1417" w:type="dxa"/>
          </w:tcPr>
          <w:p>
            <w:r>
              <w:rPr>
                <w:rFonts w:ascii="Times New Roman" w:hAnsi="Times New Roman"/>
                <w:sz w:val="20"/>
              </w:rPr>
              <w:t>QT23</w:t>
            </w:r>
          </w:p>
        </w:tc>
      </w:tr>
      <w:tr>
        <w:tc>
          <w:tcPr>
            <w:tcW w:type="dxa" w:w="2351"/>
            <w:tcW w:w="1701" w:type="dxa"/>
          </w:tcPr>
          <w:p>
            <w:r>
              <w:rPr>
                <w:rFonts w:ascii="Times New Roman" w:hAnsi="Times New Roman"/>
                <w:sz w:val="20"/>
              </w:rPr>
              <w:t>Hoa Kỳ (NSCH)</w:t>
            </w:r>
          </w:p>
        </w:tc>
        <w:tc>
          <w:tcPr>
            <w:tcW w:type="dxa" w:w="2351"/>
            <w:tcW w:w="1417" w:type="dxa"/>
          </w:tcPr>
          <w:p>
            <w:r>
              <w:rPr>
                <w:rFonts w:ascii="Times New Roman" w:hAnsi="Times New Roman"/>
                <w:sz w:val="20"/>
              </w:rPr>
              <w:t>2016–2023</w:t>
            </w:r>
          </w:p>
        </w:tc>
        <w:tc>
          <w:tcPr>
            <w:tcW w:type="dxa" w:w="2351"/>
            <w:tcW w:w="2268" w:type="dxa"/>
          </w:tcPr>
          <w:p>
            <w:r>
              <w:rPr>
                <w:rFonts w:ascii="Times New Roman" w:hAnsi="Times New Roman"/>
                <w:sz w:val="20"/>
              </w:rPr>
              <w:t>Lo âu +61%</w:t>
            </w:r>
          </w:p>
        </w:tc>
        <w:tc>
          <w:tcPr>
            <w:tcW w:type="dxa" w:w="2351"/>
            <w:tcW w:w="1417" w:type="dxa"/>
          </w:tcPr>
          <w:p>
            <w:r>
              <w:rPr>
                <w:rFonts w:ascii="Times New Roman" w:hAnsi="Times New Roman"/>
                <w:sz w:val="20"/>
              </w:rPr>
              <w:t>Bài 04</w:t>
            </w:r>
          </w:p>
        </w:tc>
      </w:tr>
      <w:tr>
        <w:tc>
          <w:tcPr>
            <w:tcW w:type="dxa" w:w="2351"/>
            <w:tcW w:w="1701" w:type="dxa"/>
          </w:tcPr>
          <w:p>
            <w:r>
              <w:rPr>
                <w:rFonts w:ascii="Times New Roman" w:hAnsi="Times New Roman"/>
                <w:sz w:val="20"/>
              </w:rPr>
              <w:t>Na Uy</w:t>
            </w:r>
          </w:p>
        </w:tc>
        <w:tc>
          <w:tcPr>
            <w:tcW w:type="dxa" w:w="2351"/>
            <w:tcW w:w="1417" w:type="dxa"/>
          </w:tcPr>
          <w:p>
            <w:r>
              <w:rPr>
                <w:rFonts w:ascii="Times New Roman" w:hAnsi="Times New Roman"/>
                <w:sz w:val="20"/>
              </w:rPr>
              <w:t>2011–2024</w:t>
            </w:r>
          </w:p>
        </w:tc>
        <w:tc>
          <w:tcPr>
            <w:tcW w:type="dxa" w:w="2351"/>
            <w:tcW w:w="2268" w:type="dxa"/>
          </w:tcPr>
          <w:p>
            <w:r>
              <w:rPr>
                <w:rFonts w:ascii="Times New Roman" w:hAnsi="Times New Roman"/>
                <w:sz w:val="20"/>
              </w:rPr>
              <w:t>Tăng liên tục 13 năm</w:t>
            </w:r>
          </w:p>
        </w:tc>
        <w:tc>
          <w:tcPr>
            <w:tcW w:type="dxa" w:w="2351"/>
            <w:tcW w:w="1417" w:type="dxa"/>
          </w:tcPr>
          <w:p>
            <w:r>
              <w:rPr>
                <w:rFonts w:ascii="Times New Roman" w:hAnsi="Times New Roman"/>
                <w:sz w:val="20"/>
              </w:rPr>
              <w:t>QT21</w:t>
            </w:r>
          </w:p>
        </w:tc>
      </w:tr>
      <w:tr>
        <w:tc>
          <w:tcPr>
            <w:tcW w:type="dxa" w:w="2351"/>
            <w:tcW w:w="1701" w:type="dxa"/>
          </w:tcPr>
          <w:p>
            <w:r>
              <w:rPr>
                <w:rFonts w:ascii="Times New Roman" w:hAnsi="Times New Roman"/>
                <w:sz w:val="20"/>
              </w:rPr>
              <w:t>Ireland</w:t>
            </w:r>
          </w:p>
        </w:tc>
        <w:tc>
          <w:tcPr>
            <w:tcW w:type="dxa" w:w="2351"/>
            <w:tcW w:w="1417" w:type="dxa"/>
          </w:tcPr>
          <w:p>
            <w:r>
              <w:rPr>
                <w:rFonts w:ascii="Times New Roman" w:hAnsi="Times New Roman"/>
                <w:sz w:val="20"/>
              </w:rPr>
              <w:t>2012–2019</w:t>
            </w:r>
          </w:p>
        </w:tc>
        <w:tc>
          <w:tcPr>
            <w:tcW w:type="dxa" w:w="2351"/>
            <w:tcW w:w="2268" w:type="dxa"/>
          </w:tcPr>
          <w:p>
            <w:r>
              <w:rPr>
                <w:rFonts w:ascii="Times New Roman" w:hAnsi="Times New Roman"/>
                <w:sz w:val="20"/>
              </w:rPr>
              <w:t>Tăng, nữ nhanh hơn</w:t>
            </w:r>
          </w:p>
        </w:tc>
        <w:tc>
          <w:tcPr>
            <w:tcW w:type="dxa" w:w="2351"/>
            <w:tcW w:w="1417" w:type="dxa"/>
          </w:tcPr>
          <w:p>
            <w:r>
              <w:rPr>
                <w:rFonts w:ascii="Times New Roman" w:hAnsi="Times New Roman"/>
                <w:sz w:val="20"/>
              </w:rPr>
              <w:t>QT32</w:t>
            </w:r>
          </w:p>
        </w:tc>
      </w:tr>
      <w:tr>
        <w:tc>
          <w:tcPr>
            <w:tcW w:type="dxa" w:w="2351"/>
            <w:tcW w:w="1701" w:type="dxa"/>
          </w:tcPr>
          <w:p>
            <w:r>
              <w:rPr>
                <w:rFonts w:ascii="Times New Roman" w:hAnsi="Times New Roman"/>
                <w:sz w:val="20"/>
              </w:rPr>
              <w:t>Hàn Quốc</w:t>
            </w:r>
          </w:p>
        </w:tc>
        <w:tc>
          <w:tcPr>
            <w:tcW w:type="dxa" w:w="2351"/>
            <w:tcW w:w="1417" w:type="dxa"/>
          </w:tcPr>
          <w:p>
            <w:r>
              <w:rPr>
                <w:rFonts w:ascii="Times New Roman" w:hAnsi="Times New Roman"/>
                <w:sz w:val="20"/>
              </w:rPr>
              <w:t>2006–2022</w:t>
            </w:r>
          </w:p>
        </w:tc>
        <w:tc>
          <w:tcPr>
            <w:tcW w:type="dxa" w:w="2351"/>
            <w:tcW w:w="2268" w:type="dxa"/>
          </w:tcPr>
          <w:p>
            <w:r>
              <w:rPr>
                <w:rFonts w:ascii="Times New Roman" w:hAnsi="Times New Roman"/>
                <w:sz w:val="20"/>
              </w:rPr>
              <w:t>Giảm trước, tăng sau COVID</w:t>
            </w:r>
          </w:p>
        </w:tc>
        <w:tc>
          <w:tcPr>
            <w:tcW w:type="dxa" w:w="2351"/>
            <w:tcW w:w="1417" w:type="dxa"/>
          </w:tcPr>
          <w:p>
            <w:r>
              <w:rPr>
                <w:rFonts w:ascii="Times New Roman" w:hAnsi="Times New Roman"/>
                <w:sz w:val="20"/>
              </w:rPr>
              <w:t>QT34</w:t>
            </w:r>
          </w:p>
        </w:tc>
      </w:tr>
      <w:tr>
        <w:tc>
          <w:tcPr>
            <w:tcW w:type="dxa" w:w="2351"/>
            <w:tcW w:w="1701" w:type="dxa"/>
          </w:tcPr>
          <w:p>
            <w:r>
              <w:rPr>
                <w:rFonts w:ascii="Times New Roman" w:hAnsi="Times New Roman"/>
                <w:sz w:val="20"/>
              </w:rPr>
              <w:t>Việt Nam (HTH)</w:t>
            </w:r>
          </w:p>
        </w:tc>
        <w:tc>
          <w:tcPr>
            <w:tcW w:type="dxa" w:w="2351"/>
            <w:tcW w:w="1417" w:type="dxa"/>
          </w:tcPr>
          <w:p>
            <w:r>
              <w:rPr>
                <w:rFonts w:ascii="Times New Roman" w:hAnsi="Times New Roman"/>
                <w:sz w:val="20"/>
              </w:rPr>
              <w:t>2021 vs 2023</w:t>
            </w:r>
          </w:p>
        </w:tc>
        <w:tc>
          <w:tcPr>
            <w:tcW w:type="dxa" w:w="2351"/>
            <w:tcW w:w="2268" w:type="dxa"/>
          </w:tcPr>
          <w:p>
            <w:r>
              <w:rPr>
                <w:rFonts w:ascii="Times New Roman" w:hAnsi="Times New Roman"/>
                <w:sz w:val="20"/>
              </w:rPr>
              <w:t>41,5% → 25,4% (COVID giảm)</w:t>
            </w:r>
          </w:p>
        </w:tc>
        <w:tc>
          <w:tcPr>
            <w:tcW w:type="dxa" w:w="2351"/>
            <w:tcW w:w="1417" w:type="dxa"/>
          </w:tcPr>
          <w:p>
            <w:r>
              <w:rPr>
                <w:rFonts w:ascii="Times New Roman" w:hAnsi="Times New Roman"/>
                <w:sz w:val="20"/>
              </w:rPr>
              <w:t>VN14</w:t>
            </w:r>
          </w:p>
        </w:tc>
      </w:tr>
    </w:tbl>
    <w:p/>
    <w:p>
      <w:pPr>
        <w:pStyle w:val="Heading3"/>
      </w:pPr>
      <w:r>
        <w:rPr>
          <w:rFonts w:ascii="Times New Roman" w:hAnsi="Times New Roman"/>
          <w:color w:val="0070C0"/>
        </w:rPr>
        <w:t>Đối chiếu liên bài : Xu hướng tăng SKTT ở VTN Anh (+36% trong 11 năm) nhất quán với Mỹ, Na Uy, Ireland. Nữ bị ảnh hưởng nặng hơn ở TẤT CẢ các nước. Đáng chú ý, tự hại ở nữ 16–24 Anh (31,7%) rất cao — so sánh Danh Lâm 2022 VN (tự làm đau 10%, cố tự tử 1,4%).</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*Xu hướng toàn cầu nhất quán.* Tất cả các nước phương Tây đều báo cáo tăng SKTT ở VTN trong 10–15 năm qua. Anh không phải ngoại lệ.</w:t>
      </w:r>
    </w:p>
    <w:p>
      <w:r>
        <w:rPr>
          <w:rFonts w:ascii="Times New Roman" w:hAnsi="Times New Roman"/>
          <w:b w:val="0"/>
          <w:color w:val="0070C0"/>
          <w:sz w:val="24"/>
        </w:rPr>
        <w:t>*Nữ — nhóm đặc biệt dễ tổn thương.* 36,1% nữ 16–24 mắc rối loạn TT (gấp 2,2 lần nam) — cần can thiệp nhạy cảm giới.</w:t>
      </w:r>
    </w:p>
    <w:p>
      <w:r>
        <w:rPr>
          <w:rFonts w:ascii="Times New Roman" w:hAnsi="Times New Roman"/>
          <w:b w:val="0"/>
          <w:color w:val="0070C0"/>
          <w:sz w:val="24"/>
        </w:rPr>
        <w:t>*Tự hại tăng gấp 4 từ 2000.* Xu hướng đáng báo động, phù hợp với dữ liệu tự hại ở VN (Danh Lâm: 10%).</w:t>
      </w:r>
    </w:p>
    <w:p>
      <w:r>
        <w:rPr>
          <w:rFonts w:ascii="Times New Roman" w:hAnsi="Times New Roman"/>
          <w:b/>
          <w:color w:val="FF0000"/>
          <w:sz w:val="24"/>
        </w:rPr>
        <w:t>Kết luận</w:t>
      </w:r>
    </w:p>
    <w:p>
      <w:r>
        <w:rPr>
          <w:rFonts w:ascii="Times New Roman" w:hAnsi="Times New Roman"/>
          <w:b/>
          <w:color w:val="0070C0"/>
          <w:sz w:val="24"/>
        </w:rPr>
        <w:t>Dữ liệu NHS Anh cho thấy 25,8% thanh niên 16–24 mắc rối loạn tâm thần phổ biến — tăng 36% trong 11 năm — với nữ bị ảnh hưởng gấp đôi nam và tự hại tăng gấp 4. Xu hướng nhất quán với Mỹ, Na Uy, Ireland, gợi ý cuộc khủng hoảng SKTT VTN là toàn cầu.</w:t>
      </w:r>
    </w:p>
    <w:p>
      <w:pPr>
        <w:pStyle w:val="Heading2"/>
      </w:pPr>
      <w:r>
        <w:rPr>
          <w:rFonts w:ascii="Times New Roman" w:hAnsi="Times New Roman"/>
          <w:color w:val="FF0000"/>
        </w:rPr>
        <w:t>Phản biện</w:t>
      </w:r>
    </w:p>
    <w:p>
      <w:r>
        <w:rPr>
          <w:rFonts w:ascii="Times New Roman" w:hAnsi="Times New Roman"/>
          <w:b w:val="0"/>
          <w:color w:val="0070C0"/>
          <w:sz w:val="24"/>
        </w:rPr>
        <w:t>Nguồn chính thức Quốc hội Anh — đáng tin cậy nhất. Dữ liệu NHS quốc gia. Tuy nhiên, báo cáo chính sách, không phải NC peer-reviewed. Chỉ Anh — bối cảnh khác VN.</w:t>
      </w:r>
    </w:p>
    <w:p>
      <w:pPr>
        <w:pStyle w:val="Heading2"/>
      </w:pPr>
      <w:r>
        <w:rPr>
          <w:rFonts w:ascii="Times New Roman" w:hAnsi="Times New Roman"/>
          <w:color w:val="FF0000"/>
        </w:rPr>
        <w:t>Hướng nghiên cứu tiếp theo</w:t>
      </w:r>
    </w:p>
    <w:p>
      <w:r>
        <w:rPr>
          <w:rFonts w:ascii="Times New Roman" w:hAnsi="Times New Roman"/>
          <w:b w:val="0"/>
          <w:color w:val="0070C0"/>
          <w:sz w:val="24"/>
        </w:rPr>
        <w:t>So sánh hệ thống NHS Anh với VN về tiếp cận dịch vụ SKTT. Phân tích xu hướng tự hại ở VTN VN.</w:t>
      </w:r>
    </w:p>
    <w:p>
      <w:r>
        <w:rPr>
          <w:rFonts w:ascii="Times New Roman" w:hAnsi="Times New Roman"/>
          <w:b/>
          <w:sz w:val="24"/>
        </w:rPr>
        <w:t>Đánh giá: ⭐⭐⭐ Trung bình-Khá. Nguồn chính thức nhưng không peer-reviewed.</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