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QT-29</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Hiệu quả các loại can thiệp khác nhau cho rối loạn lo âu ở trẻ em và thanh thiếu niên: Tổng quan hệ thống và phân tích tổng hợp mạng Bayesian » (Effects of Different Interventions on Anxiety Disorders in Children and Adolescents: A Systematic Review and Bayesian Network Meta-analysis), xuất bản trên BMC Psychiatry, 2025 (Q1, Open Access). 30 RCTs, 1.711 trẻ tham gia. 14 trang, 3 bảng, 6 hình.</w:t>
      </w:r>
    </w:p>
    <w:p>
      <w:r>
        <w:rPr>
          <w:rFonts w:ascii="Times New Roman" w:hAnsi="Times New Roman"/>
          <w:b/>
          <w:color w:val="FF0000"/>
          <w:sz w:val="24"/>
        </w:rPr>
        <w:t>Phương pháp nghiên cứu</w:t>
      </w:r>
    </w:p>
    <w:p>
      <w:r>
        <w:rPr>
          <w:rFonts w:ascii="Times New Roman" w:hAnsi="Times New Roman"/>
          <w:b/>
          <w:color w:val="0070C0"/>
          <w:sz w:val="24"/>
        </w:rPr>
        <w:t>Tổng quan hệ thống và phân tích tổng hợp mạng Bayesian (Bayesian network meta-analysis) — phương pháp nâng cao nhất cho phép so sánh ĐỒNG THỜI nhiều loại can thiệp mà không cần RCT head-to-head cho mọi cặp. Nói cách khác, thay vì chỉ so sánh CBT vs placebo, phương pháp này xếp hạng tất cả các loại can thiệp dựa trên mạng lưới bằng chứng.</w:t>
      </w:r>
    </w:p>
    <w:p>
      <w:r>
        <w:rPr>
          <w:rFonts w:ascii="Times New Roman" w:hAnsi="Times New Roman"/>
          <w:b/>
          <w:color w:val="0070C0"/>
          <w:sz w:val="24"/>
        </w:rPr>
        <w:t>Tìm kiếm trong PubMed, PsychINFO, Web of Science đến 24/01/2025. Tiêu chí: RCT, trẻ em/VTN có rối loạn lo âu, so sánh ít nhất 2 can thiệp. Đánh giá nguy cơ thiên lệch bằng Cochrane RoB 2.0.</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 gốc). Đặc điểm 30 RCTs:</w:t>
      </w:r>
    </w:p>
    <w:tbl>
      <w:tblPr>
        <w:tblStyle w:val="TableGrid"/>
        <w:tblW w:type="auto" w:w="0"/>
        <w:jc w:val="center"/>
        <w:tblLook w:firstColumn="1" w:firstRow="1" w:lastColumn="0" w:lastRow="0" w:noHBand="0" w:noVBand="1" w:val="04A0"/>
      </w:tblPr>
      <w:tblGrid>
        <w:gridCol w:w="4702"/>
        <w:gridCol w:w="4702"/>
      </w:tblGrid>
      <w:tr>
        <w:tc>
          <w:tcPr>
            <w:tcW w:type="dxa" w:w="4702"/>
            <w:tcW w:w="2268" w:type="dxa"/>
            <w:shd w:fill="D9E2F3" w:val="clear"/>
          </w:tcPr>
          <w:p>
            <w:pPr>
              <w:jc w:val="center"/>
            </w:pPr>
            <w:r>
              <w:rPr>
                <w:rFonts w:ascii="Times New Roman" w:hAnsi="Times New Roman"/>
                <w:b/>
                <w:sz w:val="20"/>
              </w:rPr>
              <w:t>Đặc điểm</w:t>
            </w:r>
          </w:p>
        </w:tc>
        <w:tc>
          <w:tcPr>
            <w:tcW w:type="dxa" w:w="4702"/>
            <w:tcW w:w="4819" w:type="dxa"/>
            <w:shd w:fill="D9E2F3" w:val="clear"/>
          </w:tcPr>
          <w:p>
            <w:pPr>
              <w:jc w:val="center"/>
            </w:pPr>
            <w:r>
              <w:rPr>
                <w:rFonts w:ascii="Times New Roman" w:hAnsi="Times New Roman"/>
                <w:b/>
                <w:sz w:val="20"/>
              </w:rPr>
              <w:t>Giá trị</w:t>
            </w:r>
          </w:p>
        </w:tc>
      </w:tr>
      <w:tr>
        <w:tc>
          <w:tcPr>
            <w:tcW w:type="dxa" w:w="4702"/>
            <w:tcW w:w="2268" w:type="dxa"/>
          </w:tcPr>
          <w:p>
            <w:r>
              <w:rPr>
                <w:rFonts w:ascii="Times New Roman" w:hAnsi="Times New Roman"/>
                <w:sz w:val="20"/>
              </w:rPr>
              <w:t>Số RCTs</w:t>
            </w:r>
          </w:p>
        </w:tc>
        <w:tc>
          <w:tcPr>
            <w:tcW w:type="dxa" w:w="4702"/>
            <w:tcW w:w="4819" w:type="dxa"/>
          </w:tcPr>
          <w:p>
            <w:r>
              <w:rPr>
                <w:rFonts w:ascii="Times New Roman" w:hAnsi="Times New Roman"/>
                <w:sz w:val="20"/>
              </w:rPr>
              <w:t>30</w:t>
            </w:r>
          </w:p>
        </w:tc>
      </w:tr>
      <w:tr>
        <w:tc>
          <w:tcPr>
            <w:tcW w:type="dxa" w:w="4702"/>
            <w:tcW w:w="2268" w:type="dxa"/>
          </w:tcPr>
          <w:p>
            <w:r>
              <w:rPr>
                <w:rFonts w:ascii="Times New Roman" w:hAnsi="Times New Roman"/>
                <w:sz w:val="20"/>
              </w:rPr>
              <w:t>Tổng số trẻ tham gia</w:t>
            </w:r>
          </w:p>
        </w:tc>
        <w:tc>
          <w:tcPr>
            <w:tcW w:type="dxa" w:w="4702"/>
            <w:tcW w:w="4819" w:type="dxa"/>
          </w:tcPr>
          <w:p>
            <w:r>
              <w:rPr>
                <w:rFonts w:ascii="Times New Roman" w:hAnsi="Times New Roman"/>
                <w:sz w:val="20"/>
              </w:rPr>
              <w:t>1.711</w:t>
            </w:r>
          </w:p>
        </w:tc>
      </w:tr>
      <w:tr>
        <w:tc>
          <w:tcPr>
            <w:tcW w:type="dxa" w:w="4702"/>
            <w:tcW w:w="2268" w:type="dxa"/>
          </w:tcPr>
          <w:p>
            <w:r>
              <w:rPr>
                <w:rFonts w:ascii="Times New Roman" w:hAnsi="Times New Roman"/>
                <w:sz w:val="20"/>
              </w:rPr>
              <w:t>Loại can thiệp so sánh</w:t>
            </w:r>
          </w:p>
        </w:tc>
        <w:tc>
          <w:tcPr>
            <w:tcW w:type="dxa" w:w="4702"/>
            <w:tcW w:w="4819" w:type="dxa"/>
          </w:tcPr>
          <w:p>
            <w:r>
              <w:rPr>
                <w:rFonts w:ascii="Times New Roman" w:hAnsi="Times New Roman"/>
                <w:sz w:val="20"/>
              </w:rPr>
              <w:t>CBT cá nhân, CBT nhóm, thuốc (SSRI), kết hợp, tâm lý giáo dục, thư giãn, chờ đợi</w:t>
            </w:r>
          </w:p>
        </w:tc>
      </w:tr>
      <w:tr>
        <w:tc>
          <w:tcPr>
            <w:tcW w:type="dxa" w:w="4702"/>
            <w:tcW w:w="2268" w:type="dxa"/>
          </w:tcPr>
          <w:p>
            <w:r>
              <w:rPr>
                <w:rFonts w:ascii="Times New Roman" w:hAnsi="Times New Roman"/>
                <w:sz w:val="20"/>
              </w:rPr>
              <w:t>Rối loạn lo âu đánh giá</w:t>
            </w:r>
          </w:p>
        </w:tc>
        <w:tc>
          <w:tcPr>
            <w:tcW w:type="dxa" w:w="4702"/>
            <w:tcW w:w="4819" w:type="dxa"/>
          </w:tcPr>
          <w:p>
            <w:r>
              <w:rPr>
                <w:rFonts w:ascii="Times New Roman" w:hAnsi="Times New Roman"/>
                <w:sz w:val="20"/>
              </w:rPr>
              <w:t>GAD, SAD, lo âu xã hội, lo âu phân ly, ám ảnh cụ thể</w:t>
            </w:r>
          </w:p>
        </w:tc>
      </w:tr>
      <w:tr>
        <w:tc>
          <w:tcPr>
            <w:tcW w:type="dxa" w:w="4702"/>
            <w:tcW w:w="2268" w:type="dxa"/>
          </w:tcPr>
          <w:p>
            <w:r>
              <w:rPr>
                <w:rFonts w:ascii="Times New Roman" w:hAnsi="Times New Roman"/>
                <w:sz w:val="20"/>
              </w:rPr>
              <w:t>Phương pháp phân tích</w:t>
            </w:r>
          </w:p>
        </w:tc>
        <w:tc>
          <w:tcPr>
            <w:tcW w:type="dxa" w:w="4702"/>
            <w:tcW w:w="4819" w:type="dxa"/>
          </w:tcPr>
          <w:p>
            <w:r>
              <w:rPr>
                <w:rFonts w:ascii="Times New Roman" w:hAnsi="Times New Roman"/>
                <w:sz w:val="20"/>
              </w:rPr>
              <w:t>Bayesian network meta-analysis (NMA)</w:t>
            </w:r>
          </w:p>
        </w:tc>
      </w:tr>
    </w:tbl>
    <w:p/>
    <w:p>
      <w:r>
        <w:rPr>
          <w:rFonts w:ascii="Times New Roman" w:hAnsi="Times New Roman"/>
          <w:b/>
          <w:color w:val="0070C0"/>
          <w:sz w:val="24"/>
        </w:rPr>
        <w:t>Bảng 2 (từ Table 2+3 gốc). Xếp hạng hiệu quả các can thiệp: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850" w:type="dxa"/>
            <w:shd w:fill="D9E2F3" w:val="clear"/>
          </w:tcPr>
          <w:p>
            <w:pPr>
              <w:jc w:val="center"/>
            </w:pPr>
            <w:r>
              <w:rPr>
                <w:rFonts w:ascii="Times New Roman" w:hAnsi="Times New Roman"/>
                <w:b/>
                <w:sz w:val="20"/>
              </w:rPr>
              <w:t>Xếp hạng</w:t>
            </w:r>
          </w:p>
        </w:tc>
        <w:tc>
          <w:tcPr>
            <w:tcW w:type="dxa" w:w="2351"/>
            <w:tcW w:w="1701" w:type="dxa"/>
            <w:shd w:fill="D9E2F3" w:val="clear"/>
          </w:tcPr>
          <w:p>
            <w:pPr>
              <w:jc w:val="center"/>
            </w:pPr>
            <w:r>
              <w:rPr>
                <w:rFonts w:ascii="Times New Roman" w:hAnsi="Times New Roman"/>
                <w:b/>
                <w:sz w:val="20"/>
              </w:rPr>
              <w:t>Can thiệp</w:t>
            </w:r>
          </w:p>
        </w:tc>
        <w:tc>
          <w:tcPr>
            <w:tcW w:type="dxa" w:w="2351"/>
            <w:tcW w:w="1984" w:type="dxa"/>
            <w:shd w:fill="D9E2F3" w:val="clear"/>
          </w:tcPr>
          <w:p>
            <w:pPr>
              <w:jc w:val="center"/>
            </w:pPr>
            <w:r>
              <w:rPr>
                <w:rFonts w:ascii="Times New Roman" w:hAnsi="Times New Roman"/>
                <w:b/>
                <w:sz w:val="20"/>
              </w:rPr>
              <w:t>Hiệu quả (SMD/OR)</w:t>
            </w:r>
          </w:p>
        </w:tc>
        <w:tc>
          <w:tcPr>
            <w:tcW w:type="dxa" w:w="2351"/>
            <w:tcW w:w="2551" w:type="dxa"/>
            <w:shd w:fill="D9E2F3" w:val="clear"/>
          </w:tcPr>
          <w:p>
            <w:pPr>
              <w:jc w:val="center"/>
            </w:pPr>
            <w:r>
              <w:rPr>
                <w:rFonts w:ascii="Times New Roman" w:hAnsi="Times New Roman"/>
                <w:b/>
                <w:sz w:val="20"/>
              </w:rPr>
              <w:t>Ghi chú</w:t>
            </w:r>
          </w:p>
        </w:tc>
      </w:tr>
      <w:tr>
        <w:tc>
          <w:tcPr>
            <w:tcW w:type="dxa" w:w="2351"/>
            <w:tcW w:w="850" w:type="dxa"/>
          </w:tcPr>
          <w:p>
            <w:r>
              <w:rPr>
                <w:rFonts w:ascii="Times New Roman" w:hAnsi="Times New Roman"/>
                <w:sz w:val="20"/>
              </w:rPr>
              <w:t>1</w:t>
            </w:r>
          </w:p>
        </w:tc>
        <w:tc>
          <w:tcPr>
            <w:tcW w:type="dxa" w:w="2351"/>
            <w:tcW w:w="1701" w:type="dxa"/>
          </w:tcPr>
          <w:p>
            <w:r>
              <w:rPr>
                <w:rFonts w:ascii="Times New Roman" w:hAnsi="Times New Roman"/>
                <w:sz w:val="20"/>
              </w:rPr>
              <w:t>CBT cá nhân</w:t>
            </w:r>
          </w:p>
        </w:tc>
        <w:tc>
          <w:tcPr>
            <w:tcW w:type="dxa" w:w="2351"/>
            <w:tcW w:w="1984" w:type="dxa"/>
          </w:tcPr>
          <w:p>
            <w:r>
              <w:rPr>
                <w:rFonts w:ascii="Times New Roman" w:hAnsi="Times New Roman"/>
                <w:sz w:val="20"/>
              </w:rPr>
              <w:t>Hiệu quả nhất</w:t>
            </w:r>
          </w:p>
        </w:tc>
        <w:tc>
          <w:tcPr>
            <w:tcW w:type="dxa" w:w="2351"/>
            <w:tcW w:w="2551" w:type="dxa"/>
          </w:tcPr>
          <w:p>
            <w:r>
              <w:rPr>
                <w:rFonts w:ascii="Times New Roman" w:hAnsi="Times New Roman"/>
                <w:sz w:val="20"/>
              </w:rPr>
              <w:t>Bằng chứng mạnh</w:t>
            </w:r>
          </w:p>
        </w:tc>
      </w:tr>
      <w:tr>
        <w:tc>
          <w:tcPr>
            <w:tcW w:type="dxa" w:w="2351"/>
            <w:tcW w:w="850" w:type="dxa"/>
          </w:tcPr>
          <w:p>
            <w:r>
              <w:rPr>
                <w:rFonts w:ascii="Times New Roman" w:hAnsi="Times New Roman"/>
                <w:sz w:val="20"/>
              </w:rPr>
              <w:t>2–3</w:t>
            </w:r>
          </w:p>
        </w:tc>
        <w:tc>
          <w:tcPr>
            <w:tcW w:type="dxa" w:w="2351"/>
            <w:tcW w:w="1701" w:type="dxa"/>
          </w:tcPr>
          <w:p>
            <w:r>
              <w:rPr>
                <w:rFonts w:ascii="Times New Roman" w:hAnsi="Times New Roman"/>
                <w:sz w:val="20"/>
              </w:rPr>
              <w:t>CBT nhóm</w:t>
            </w:r>
          </w:p>
        </w:tc>
        <w:tc>
          <w:tcPr>
            <w:tcW w:type="dxa" w:w="2351"/>
            <w:tcW w:w="1984" w:type="dxa"/>
          </w:tcPr>
          <w:p>
            <w:r>
              <w:rPr>
                <w:rFonts w:ascii="Times New Roman" w:hAnsi="Times New Roman"/>
                <w:sz w:val="20"/>
              </w:rPr>
              <w:t>Tương đương cá nhân</w:t>
            </w:r>
          </w:p>
        </w:tc>
        <w:tc>
          <w:tcPr>
            <w:tcW w:type="dxa" w:w="2351"/>
            <w:tcW w:w="2551" w:type="dxa"/>
          </w:tcPr>
          <w:p>
            <w:r>
              <w:rPr>
                <w:rFonts w:ascii="Times New Roman" w:hAnsi="Times New Roman"/>
                <w:sz w:val="20"/>
              </w:rPr>
              <w:t>Chi phí thấp hơn</w:t>
            </w:r>
          </w:p>
        </w:tc>
      </w:tr>
      <w:tr>
        <w:tc>
          <w:tcPr>
            <w:tcW w:type="dxa" w:w="2351"/>
            <w:tcW w:w="850" w:type="dxa"/>
          </w:tcPr>
          <w:p>
            <w:r>
              <w:rPr>
                <w:rFonts w:ascii="Times New Roman" w:hAnsi="Times New Roman"/>
                <w:sz w:val="20"/>
              </w:rPr>
              <w:t>3–4</w:t>
            </w:r>
          </w:p>
        </w:tc>
        <w:tc>
          <w:tcPr>
            <w:tcW w:type="dxa" w:w="2351"/>
            <w:tcW w:w="1701" w:type="dxa"/>
          </w:tcPr>
          <w:p>
            <w:r>
              <w:rPr>
                <w:rFonts w:ascii="Times New Roman" w:hAnsi="Times New Roman"/>
                <w:sz w:val="20"/>
              </w:rPr>
              <w:t>SSRI (thuốc)</w:t>
            </w:r>
          </w:p>
        </w:tc>
        <w:tc>
          <w:tcPr>
            <w:tcW w:type="dxa" w:w="2351"/>
            <w:tcW w:w="1984" w:type="dxa"/>
          </w:tcPr>
          <w:p>
            <w:r>
              <w:rPr>
                <w:rFonts w:ascii="Times New Roman" w:hAnsi="Times New Roman"/>
                <w:sz w:val="20"/>
              </w:rPr>
              <w:t>Hiệu quả</w:t>
            </w:r>
          </w:p>
        </w:tc>
        <w:tc>
          <w:tcPr>
            <w:tcW w:type="dxa" w:w="2351"/>
            <w:tcW w:w="2551" w:type="dxa"/>
          </w:tcPr>
          <w:p>
            <w:r>
              <w:rPr>
                <w:rFonts w:ascii="Times New Roman" w:hAnsi="Times New Roman"/>
                <w:sz w:val="20"/>
              </w:rPr>
              <w:t>Tác dụng phụ ở trẻ</w:t>
            </w:r>
          </w:p>
        </w:tc>
      </w:tr>
      <w:tr>
        <w:tc>
          <w:tcPr>
            <w:tcW w:type="dxa" w:w="2351"/>
            <w:tcW w:w="850" w:type="dxa"/>
          </w:tcPr>
          <w:p>
            <w:r>
              <w:rPr>
                <w:rFonts w:ascii="Times New Roman" w:hAnsi="Times New Roman"/>
                <w:sz w:val="20"/>
              </w:rPr>
              <w:t>4–5</w:t>
            </w:r>
          </w:p>
        </w:tc>
        <w:tc>
          <w:tcPr>
            <w:tcW w:type="dxa" w:w="2351"/>
            <w:tcW w:w="1701" w:type="dxa"/>
          </w:tcPr>
          <w:p>
            <w:r>
              <w:rPr>
                <w:rFonts w:ascii="Times New Roman" w:hAnsi="Times New Roman"/>
                <w:sz w:val="20"/>
              </w:rPr>
              <w:t>CBT + SSRI</w:t>
            </w:r>
          </w:p>
        </w:tc>
        <w:tc>
          <w:tcPr>
            <w:tcW w:type="dxa" w:w="2351"/>
            <w:tcW w:w="1984" w:type="dxa"/>
          </w:tcPr>
          <w:p>
            <w:r>
              <w:rPr>
                <w:rFonts w:ascii="Times New Roman" w:hAnsi="Times New Roman"/>
                <w:sz w:val="20"/>
              </w:rPr>
              <w:t>Tốt nhưng ít RCT</w:t>
            </w:r>
          </w:p>
        </w:tc>
        <w:tc>
          <w:tcPr>
            <w:tcW w:type="dxa" w:w="2351"/>
            <w:tcW w:w="2551" w:type="dxa"/>
          </w:tcPr>
          <w:p>
            <w:r>
              <w:rPr>
                <w:rFonts w:ascii="Times New Roman" w:hAnsi="Times New Roman"/>
                <w:sz w:val="20"/>
              </w:rPr>
              <w:t>Cần thêm NC</w:t>
            </w:r>
          </w:p>
        </w:tc>
      </w:tr>
      <w:tr>
        <w:tc>
          <w:tcPr>
            <w:tcW w:type="dxa" w:w="2351"/>
            <w:tcW w:w="850" w:type="dxa"/>
          </w:tcPr>
          <w:p>
            <w:r>
              <w:rPr>
                <w:rFonts w:ascii="Times New Roman" w:hAnsi="Times New Roman"/>
                <w:sz w:val="20"/>
              </w:rPr>
              <w:t>5+</w:t>
            </w:r>
          </w:p>
        </w:tc>
        <w:tc>
          <w:tcPr>
            <w:tcW w:type="dxa" w:w="2351"/>
            <w:tcW w:w="1701" w:type="dxa"/>
          </w:tcPr>
          <w:p>
            <w:r>
              <w:rPr>
                <w:rFonts w:ascii="Times New Roman" w:hAnsi="Times New Roman"/>
                <w:sz w:val="20"/>
              </w:rPr>
              <w:t>Tâm lý giáo dục</w:t>
            </w:r>
          </w:p>
        </w:tc>
        <w:tc>
          <w:tcPr>
            <w:tcW w:type="dxa" w:w="2351"/>
            <w:tcW w:w="1984" w:type="dxa"/>
          </w:tcPr>
          <w:p>
            <w:r>
              <w:rPr>
                <w:rFonts w:ascii="Times New Roman" w:hAnsi="Times New Roman"/>
                <w:sz w:val="20"/>
              </w:rPr>
              <w:t>Hiệu quả thấp hơn</w:t>
            </w:r>
          </w:p>
        </w:tc>
        <w:tc>
          <w:tcPr>
            <w:tcW w:type="dxa" w:w="2351"/>
            <w:tcW w:w="2551" w:type="dxa"/>
          </w:tcPr>
          <w:p>
            <w:r>
              <w:rPr>
                <w:rFonts w:ascii="Times New Roman" w:hAnsi="Times New Roman"/>
                <w:sz w:val="20"/>
              </w:rPr>
              <w:t>An toàn</w:t>
            </w:r>
          </w:p>
        </w:tc>
      </w:tr>
      <w:tr>
        <w:tc>
          <w:tcPr>
            <w:tcW w:type="dxa" w:w="2351"/>
            <w:tcW w:w="850" w:type="dxa"/>
          </w:tcPr>
          <w:p>
            <w:r>
              <w:rPr>
                <w:rFonts w:ascii="Times New Roman" w:hAnsi="Times New Roman"/>
                <w:sz w:val="20"/>
              </w:rPr>
            </w:r>
          </w:p>
        </w:tc>
        <w:tc>
          <w:tcPr>
            <w:tcW w:type="dxa" w:w="2351"/>
            <w:tcW w:w="1701" w:type="dxa"/>
          </w:tcPr>
          <w:p>
            <w:r>
              <w:rPr>
                <w:rFonts w:ascii="Times New Roman" w:hAnsi="Times New Roman"/>
                <w:sz w:val="20"/>
              </w:rPr>
              <w:t>Thư giãn</w:t>
            </w:r>
          </w:p>
        </w:tc>
        <w:tc>
          <w:tcPr>
            <w:tcW w:type="dxa" w:w="2351"/>
            <w:tcW w:w="1984" w:type="dxa"/>
          </w:tcPr>
          <w:p>
            <w:r>
              <w:rPr>
                <w:rFonts w:ascii="Times New Roman" w:hAnsi="Times New Roman"/>
                <w:sz w:val="20"/>
              </w:rPr>
              <w:t>Hiệu quả hạn chế</w:t>
            </w:r>
          </w:p>
        </w:tc>
        <w:tc>
          <w:tcPr>
            <w:tcW w:type="dxa" w:w="2351"/>
            <w:tcW w:w="2551" w:type="dxa"/>
          </w:tcPr>
          <w:p>
            <w:r>
              <w:rPr>
                <w:rFonts w:ascii="Times New Roman" w:hAnsi="Times New Roman"/>
                <w:sz w:val="20"/>
              </w:rPr>
            </w:r>
          </w:p>
        </w:tc>
      </w:tr>
      <w:tr>
        <w:tc>
          <w:tcPr>
            <w:tcW w:type="dxa" w:w="2351"/>
            <w:tcW w:w="850" w:type="dxa"/>
          </w:tcPr>
          <w:p>
            <w:r>
              <w:rPr>
                <w:rFonts w:ascii="Times New Roman" w:hAnsi="Times New Roman"/>
                <w:sz w:val="20"/>
              </w:rPr>
            </w:r>
          </w:p>
        </w:tc>
        <w:tc>
          <w:tcPr>
            <w:tcW w:type="dxa" w:w="2351"/>
            <w:tcW w:w="1701" w:type="dxa"/>
          </w:tcPr>
          <w:p>
            <w:r>
              <w:rPr>
                <w:rFonts w:ascii="Times New Roman" w:hAnsi="Times New Roman"/>
                <w:sz w:val="20"/>
              </w:rPr>
              <w:t>Chờ đợi (waitlist)</w:t>
            </w:r>
          </w:p>
        </w:tc>
        <w:tc>
          <w:tcPr>
            <w:tcW w:type="dxa" w:w="2351"/>
            <w:tcW w:w="1984" w:type="dxa"/>
          </w:tcPr>
          <w:p>
            <w:r>
              <w:rPr>
                <w:rFonts w:ascii="Times New Roman" w:hAnsi="Times New Roman"/>
                <w:sz w:val="20"/>
              </w:rPr>
              <w:t>Tham chiếu</w:t>
            </w:r>
          </w:p>
        </w:tc>
        <w:tc>
          <w:tcPr>
            <w:tcW w:type="dxa" w:w="2351"/>
            <w:tcW w:w="2551" w:type="dxa"/>
          </w:tcPr>
          <w:p>
            <w:r>
              <w:rPr>
                <w:rFonts w:ascii="Times New Roman" w:hAnsi="Times New Roman"/>
                <w:sz w:val="20"/>
              </w:rPr>
              <w:t>Không can thiệp</w:t>
            </w:r>
          </w:p>
        </w:tc>
      </w:tr>
    </w:tbl>
    <w:p/>
    <w:p>
      <w:r>
        <w:rPr>
          <w:rFonts w:ascii="Times New Roman" w:hAnsi="Times New Roman"/>
          <w:b/>
          <w:color w:val="0070C0"/>
          <w:sz w:val="24"/>
        </w:rPr>
        <w:t>Bảng 3. So sánh với các tổng quan can thiệp khác: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Nguồn</w:t>
            </w:r>
          </w:p>
        </w:tc>
        <w:tc>
          <w:tcPr>
            <w:tcW w:type="dxa" w:w="2351"/>
            <w:tcW w:w="1701" w:type="dxa"/>
            <w:shd w:fill="D9E2F3" w:val="clear"/>
          </w:tcPr>
          <w:p>
            <w:pPr>
              <w:jc w:val="center"/>
            </w:pPr>
            <w:r>
              <w:rPr>
                <w:rFonts w:ascii="Times New Roman" w:hAnsi="Times New Roman"/>
                <w:b/>
                <w:sz w:val="20"/>
              </w:rPr>
              <w:t>Phạm vi</w:t>
            </w:r>
          </w:p>
        </w:tc>
        <w:tc>
          <w:tcPr>
            <w:tcW w:type="dxa" w:w="2351"/>
            <w:tcW w:w="1984" w:type="dxa"/>
            <w:shd w:fill="D9E2F3" w:val="clear"/>
          </w:tcPr>
          <w:p>
            <w:pPr>
              <w:jc w:val="center"/>
            </w:pPr>
            <w:r>
              <w:rPr>
                <w:rFonts w:ascii="Times New Roman" w:hAnsi="Times New Roman"/>
                <w:b/>
                <w:sz w:val="20"/>
              </w:rPr>
              <w:t>Phát hiện</w:t>
            </w:r>
          </w:p>
        </w:tc>
        <w:tc>
          <w:tcPr>
            <w:tcW w:type="dxa" w:w="2351"/>
            <w:tcW w:w="1984" w:type="dxa"/>
            <w:shd w:fill="D9E2F3" w:val="clear"/>
          </w:tcPr>
          <w:p>
            <w:pPr>
              <w:jc w:val="center"/>
            </w:pPr>
            <w:r>
              <w:rPr>
                <w:rFonts w:ascii="Times New Roman" w:hAnsi="Times New Roman"/>
                <w:b/>
                <w:sz w:val="20"/>
              </w:rPr>
              <w:t>So với bài này</w:t>
            </w:r>
          </w:p>
        </w:tc>
      </w:tr>
      <w:tr>
        <w:tc>
          <w:tcPr>
            <w:tcW w:type="dxa" w:w="2351"/>
            <w:tcW w:w="1701" w:type="dxa"/>
          </w:tcPr>
          <w:p>
            <w:r>
              <w:rPr>
                <w:rFonts w:ascii="Times New Roman" w:hAnsi="Times New Roman"/>
                <w:sz w:val="20"/>
              </w:rPr>
              <w:t>BMC 2025 (bài này)</w:t>
            </w:r>
          </w:p>
        </w:tc>
        <w:tc>
          <w:tcPr>
            <w:tcW w:type="dxa" w:w="2351"/>
            <w:tcW w:w="1701" w:type="dxa"/>
          </w:tcPr>
          <w:p>
            <w:r>
              <w:rPr>
                <w:rFonts w:ascii="Times New Roman" w:hAnsi="Times New Roman"/>
                <w:sz w:val="20"/>
              </w:rPr>
              <w:t>30 RCTs, 1.711 trẻ</w:t>
            </w:r>
          </w:p>
        </w:tc>
        <w:tc>
          <w:tcPr>
            <w:tcW w:type="dxa" w:w="2351"/>
            <w:tcW w:w="1984" w:type="dxa"/>
          </w:tcPr>
          <w:p>
            <w:r>
              <w:rPr>
                <w:rFonts w:ascii="Times New Roman" w:hAnsi="Times New Roman"/>
                <w:sz w:val="20"/>
              </w:rPr>
              <w:t>CBT cá nhân tốt nhất</w:t>
            </w:r>
          </w:p>
        </w:tc>
        <w:tc>
          <w:tcPr>
            <w:tcW w:type="dxa" w:w="2351"/>
            <w:tcW w:w="1984" w:type="dxa"/>
          </w:tcPr>
          <w:p>
            <w:r>
              <w:rPr>
                <w:rFonts w:ascii="Times New Roman" w:hAnsi="Times New Roman"/>
                <w:sz w:val="20"/>
              </w:rPr>
              <w:t>NMA Bayesian — nâng cao nhất</w:t>
            </w:r>
          </w:p>
        </w:tc>
      </w:tr>
      <w:tr>
        <w:tc>
          <w:tcPr>
            <w:tcW w:type="dxa" w:w="2351"/>
            <w:tcW w:w="1701" w:type="dxa"/>
          </w:tcPr>
          <w:p>
            <w:r>
              <w:rPr>
                <w:rFonts w:ascii="Times New Roman" w:hAnsi="Times New Roman"/>
                <w:sz w:val="20"/>
              </w:rPr>
              <w:t>AJP 2024 (QT28)</w:t>
            </w:r>
          </w:p>
        </w:tc>
        <w:tc>
          <w:tcPr>
            <w:tcW w:type="dxa" w:w="2351"/>
            <w:tcW w:w="1701" w:type="dxa"/>
          </w:tcPr>
          <w:p>
            <w:r>
              <w:rPr>
                <w:rFonts w:ascii="Times New Roman" w:hAnsi="Times New Roman"/>
                <w:sz w:val="20"/>
              </w:rPr>
              <w:t>Tổng quan tường thuật</w:t>
            </w:r>
          </w:p>
        </w:tc>
        <w:tc>
          <w:tcPr>
            <w:tcW w:type="dxa" w:w="2351"/>
            <w:tcW w:w="1984" w:type="dxa"/>
          </w:tcPr>
          <w:p>
            <w:r>
              <w:rPr>
                <w:rFonts w:ascii="Times New Roman" w:hAnsi="Times New Roman"/>
                <w:sz w:val="20"/>
              </w:rPr>
              <w:t>CBT 47–66% phục hồi</w:t>
            </w:r>
          </w:p>
        </w:tc>
        <w:tc>
          <w:tcPr>
            <w:tcW w:type="dxa" w:w="2351"/>
            <w:tcW w:w="1984" w:type="dxa"/>
          </w:tcPr>
          <w:p>
            <w:r>
              <w:rPr>
                <w:rFonts w:ascii="Times New Roman" w:hAnsi="Times New Roman"/>
                <w:sz w:val="20"/>
              </w:rPr>
              <w:t>Không xếp hạng</w:t>
            </w:r>
          </w:p>
        </w:tc>
      </w:tr>
      <w:tr>
        <w:tc>
          <w:tcPr>
            <w:tcW w:type="dxa" w:w="2351"/>
            <w:tcW w:w="1701" w:type="dxa"/>
          </w:tcPr>
          <w:p>
            <w:r>
              <w:rPr>
                <w:rFonts w:ascii="Times New Roman" w:hAnsi="Times New Roman"/>
                <w:sz w:val="20"/>
              </w:rPr>
              <w:t>Zhameden 2025</w:t>
            </w:r>
          </w:p>
        </w:tc>
        <w:tc>
          <w:tcPr>
            <w:tcW w:type="dxa" w:w="2351"/>
            <w:tcW w:w="1701" w:type="dxa"/>
          </w:tcPr>
          <w:p>
            <w:r>
              <w:rPr>
                <w:rFonts w:ascii="Times New Roman" w:hAnsi="Times New Roman"/>
                <w:sz w:val="20"/>
              </w:rPr>
              <w:t>6 RCTs LMIC</w:t>
            </w:r>
          </w:p>
        </w:tc>
        <w:tc>
          <w:tcPr>
            <w:tcW w:type="dxa" w:w="2351"/>
            <w:tcW w:w="1984" w:type="dxa"/>
          </w:tcPr>
          <w:p>
            <w:r>
              <w:rPr>
                <w:rFonts w:ascii="Times New Roman" w:hAnsi="Times New Roman"/>
                <w:sz w:val="20"/>
              </w:rPr>
              <w:t>CBT 3/4 dep, 1/4 anx</w:t>
            </w:r>
          </w:p>
        </w:tc>
        <w:tc>
          <w:tcPr>
            <w:tcW w:type="dxa" w:w="2351"/>
            <w:tcW w:w="1984" w:type="dxa"/>
          </w:tcPr>
          <w:p>
            <w:r>
              <w:rPr>
                <w:rFonts w:ascii="Times New Roman" w:hAnsi="Times New Roman"/>
                <w:sz w:val="20"/>
              </w:rPr>
              <w:t>GRADE rất thấp, 0 VN</w:t>
            </w:r>
          </w:p>
        </w:tc>
      </w:tr>
      <w:tr>
        <w:tc>
          <w:tcPr>
            <w:tcW w:type="dxa" w:w="2351"/>
            <w:tcW w:w="1701" w:type="dxa"/>
          </w:tcPr>
          <w:p>
            <w:r>
              <w:rPr>
                <w:rFonts w:ascii="Times New Roman" w:hAnsi="Times New Roman"/>
                <w:sz w:val="20"/>
              </w:rPr>
              <w:t>Wen 2020</w:t>
            </w:r>
          </w:p>
        </w:tc>
        <w:tc>
          <w:tcPr>
            <w:tcW w:type="dxa" w:w="2351"/>
            <w:tcW w:w="1701" w:type="dxa"/>
          </w:tcPr>
          <w:p>
            <w:r>
              <w:rPr>
                <w:rFonts w:ascii="Times New Roman" w:hAnsi="Times New Roman"/>
                <w:sz w:val="20"/>
              </w:rPr>
              <w:t>Quan sát nông thôn TQ</w:t>
            </w:r>
          </w:p>
        </w:tc>
        <w:tc>
          <w:tcPr>
            <w:tcW w:type="dxa" w:w="2351"/>
            <w:tcW w:w="1984" w:type="dxa"/>
          </w:tcPr>
          <w:p>
            <w:r>
              <w:rPr>
                <w:rFonts w:ascii="Times New Roman" w:hAnsi="Times New Roman"/>
                <w:sz w:val="20"/>
              </w:rPr>
              <w:t>SKTT trường OR = 0,562</w:t>
            </w:r>
          </w:p>
        </w:tc>
        <w:tc>
          <w:tcPr>
            <w:tcW w:type="dxa" w:w="2351"/>
            <w:tcW w:w="1984" w:type="dxa"/>
          </w:tcPr>
          <w:p>
            <w:r>
              <w:rPr>
                <w:rFonts w:ascii="Times New Roman" w:hAnsi="Times New Roman"/>
                <w:sz w:val="20"/>
              </w:rPr>
              <w:t>Không can thiệp</w:t>
            </w:r>
          </w:p>
        </w:tc>
      </w:tr>
    </w:tbl>
    <w:p/>
    <w:p>
      <w:pPr>
        <w:pStyle w:val="Heading3"/>
      </w:pPr>
      <w:r>
        <w:rPr>
          <w:rFonts w:ascii="Times New Roman" w:hAnsi="Times New Roman"/>
          <w:color w:val="0070C0"/>
        </w:rPr>
        <w:t>Đối chiếu liên bài : Ba tổng quan can thiệp (AJP 2024, BMC 2025, Zhameden 2025) đều xác nhận CBT hiệu quả nhất. Tuy nhiên, Zhameden cảnh báo CBT chỉ hiệu quả 1/4 cho lo âu tại LMIC — gợi ý bằng chứng từ phương Tây chưa chắc áp dụng được cho VN. 30 RCTs trong BMC 2025 chủ yếu từ phương Tây — khoảng trống LMIC/châu Á rất lớn.</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*CBT cá nhân xếp hạng 1.* Network meta Bayesian xác nhận CBT cá nhân hiệu quả nhất trong 7+ loại can thiệp — phù hợp AJP 2024.</w:t>
      </w:r>
    </w:p>
    <w:p>
      <w:r>
        <w:rPr>
          <w:rFonts w:ascii="Times New Roman" w:hAnsi="Times New Roman"/>
          <w:b w:val="0"/>
          <w:color w:val="0070C0"/>
          <w:sz w:val="24"/>
        </w:rPr>
        <w:t>*CBT nhóm — lựa chọn thực tế cho VN.* Hiệu quả tương đương CBT cá nhân nhưng chi phí thấp hơn, phù hợp bối cảnh trường học VN (có thể triển khai cho lớp 20–30 HS).</w:t>
      </w:r>
    </w:p>
    <w:p>
      <w:r>
        <w:rPr>
          <w:rFonts w:ascii="Times New Roman" w:hAnsi="Times New Roman"/>
          <w:b w:val="0"/>
          <w:color w:val="0070C0"/>
          <w:sz w:val="24"/>
        </w:rPr>
        <w:t>*0 RCT từ VN.* Trong 30 RCTs của NMA, không có bài nào từ Việt Nam hay ASEAN — xác nhận khoảng trống Zhameden 2025 đã chỉ ra.</w:t>
      </w:r>
    </w:p>
    <w:p>
      <w:r>
        <w:rPr>
          <w:rFonts w:ascii="Times New Roman" w:hAnsi="Times New Roman"/>
          <w:b w:val="0"/>
          <w:color w:val="0070C0"/>
          <w:sz w:val="24"/>
        </w:rPr>
        <w:t>*6 hình gốc.* Bài gốc có 6 hình (forest plots, network plots, funnel plots) — cần chèn trong bản dịch đầy đủ.</w:t>
      </w:r>
    </w:p>
    <w:p>
      <w:r>
        <w:rPr>
          <w:rFonts w:ascii="Times New Roman" w:hAnsi="Times New Roman"/>
          <w:b/>
          <w:color w:val="FF0000"/>
          <w:sz w:val="24"/>
        </w:rPr>
        <w:t>Kết luận</w:t>
      </w:r>
    </w:p>
    <w:p>
      <w:r>
        <w:rPr>
          <w:rFonts w:ascii="Times New Roman" w:hAnsi="Times New Roman"/>
          <w:b/>
          <w:color w:val="0070C0"/>
          <w:sz w:val="24"/>
        </w:rPr>
        <w:t>Dữ liệu từ phân tích tổng hợp mạng Bayesian trên 30 RCTs (1.711 trẻ), cho thấy CBT cá nhân hiệu quả nhất, CBT nhóm xếp thứ 2–3 (tương đương nhưng chi phí thấp hơn), gợi ý rằng CBT nhóm tại trường học là lựa chọn khả thi nhất cho RCT đầu tiên tại Việt Nam. Khoảng trống 0 RCT từ VN/ASEAN nhấn mạnh nhu cầu cấp thiết cho nghiên cứu can thiệp tại khu vực này.</w:t>
      </w:r>
    </w:p>
    <w:p>
      <w:pPr>
        <w:pStyle w:val="Heading2"/>
      </w:pPr>
      <w:r>
        <w:rPr>
          <w:rFonts w:ascii="Times New Roman" w:hAnsi="Times New Roman"/>
          <w:color w:val="FF0000"/>
        </w:rPr>
        <w:t>Phản biện</w:t>
      </w:r>
    </w:p>
    <w:p>
      <w:r>
        <w:rPr>
          <w:rFonts w:ascii="Times New Roman" w:hAnsi="Times New Roman"/>
          <w:b w:val="0"/>
          <w:color w:val="0070C0"/>
          <w:sz w:val="24"/>
        </w:rPr>
        <w:t>BMC Psychiatry Q1, Open Access. NMA Bayesian — phương pháp nâng cao nhất, Cochrane RoB 2.0. 30 RCTs là đủ cho NMA. Tuy nhiên, 1.711 trẻ — cỡ mẫu tổng không lớn. Chủ yếu RCTs phương Tây — thiên lệch bối cảnh. Cần đọc chi tiết forest plots (6 hình) để đánh giá heterogeneity. Có thể có publication bias (kiểm tra funnel plot).</w:t>
      </w:r>
    </w:p>
    <w:p>
      <w:pPr>
        <w:pStyle w:val="Heading2"/>
      </w:pPr>
      <w:r>
        <w:rPr>
          <w:rFonts w:ascii="Times New Roman" w:hAnsi="Times New Roman"/>
          <w:color w:val="FF0000"/>
        </w:rPr>
        <w:t>Hướng nghiên cứu tiếp theo</w:t>
      </w:r>
    </w:p>
    <w:p>
      <w:r>
        <w:rPr>
          <w:rFonts w:ascii="Times New Roman" w:hAnsi="Times New Roman"/>
          <w:b w:val="0"/>
          <w:color w:val="0070C0"/>
          <w:sz w:val="24"/>
        </w:rPr>
        <w:t>RCT CBT nhóm tại trường THCS/THPT VN — đóng góp vào NMA toàn cầu. Điều chỉnh CBT cho bối cảnh văn hóa VN (gia đình, tập thể). Thêm dữ liệu LMIC/châu Á vào NMA. Đánh giá iCBT vs CBT nhóm trực tiếp.</w:t>
      </w:r>
    </w:p>
    <w:p>
      <w:r>
        <w:rPr>
          <w:rFonts w:ascii="Times New Roman" w:hAnsi="Times New Roman"/>
          <w:b/>
          <w:sz w:val="24"/>
        </w:rPr>
        <w:t>Đánh giá: ⭐⭐⭐⭐ Cao. BMC Q1, 30 RCTs, NMA Bayesian nâng cao, Cochrane RoB 2.0. Nhưng chủ yếu phương Tây.</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