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QT-32</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 Khám phá xu hướng thay đổi trầm cảm và lo âu ở thanh thiếu niên từ 2012 đến 2019: Từ khảo sát My World cắt ngang lặp lại » (Exploring Changing Trends in Depression and Anxiety among Adolescents from 2012 to 2019: Insights from My World Repeated Cross-sectional Surveys), do Fitzgerald A và cộng sự (2024), School of Psychology, Dublin, Ireland, xuất bản trên Early Intervention in Psychiatry. 11 trang, 5 bảng.</w:t>
      </w:r>
    </w:p>
    <w:p>
      <w:r>
        <w:rPr>
          <w:rFonts w:ascii="Times New Roman" w:hAnsi="Times New Roman"/>
          <w:b/>
          <w:color w:val="FF0000"/>
          <w:sz w:val="24"/>
        </w:rPr>
        <w:t>Phương pháp nghiên cứu</w:t>
      </w:r>
    </w:p>
    <w:p>
      <w:r>
        <w:rPr>
          <w:rFonts w:ascii="Times New Roman" w:hAnsi="Times New Roman"/>
          <w:b/>
          <w:color w:val="0070C0"/>
          <w:sz w:val="24"/>
        </w:rPr>
        <w:t>Thiết kế cắt ngang lặp lại (repeated cross-sectional) — 2 đợt khảo sát 2012 và 2019 trên các mẫu VTN Ireland khác nhau. Nói cách khác, đây là thiết kế tốt hơn đơn cắt ngang vì cho phép đánh giá xu hướng thay đổi theo thời gian, mặc dù không theo dõi cùng cá nhân.</w:t>
      </w:r>
    </w:p>
    <w:p>
      <w:r>
        <w:rPr>
          <w:rFonts w:ascii="Times New Roman" w:hAnsi="Times New Roman"/>
          <w:b/>
          <w:color w:val="0070C0"/>
          <w:sz w:val="24"/>
        </w:rPr>
        <w:t>Các biến dự báo giải thích 37–61% phương sai trong trầm cảm và lo âu — tỷ lệ giải thích cao bất thường cho NC tâm lý.</w:t>
      </w:r>
    </w:p>
    <w:p>
      <w:r>
        <w:rPr>
          <w:rFonts w:ascii="Times New Roman" w:hAnsi="Times New Roman"/>
          <w:b/>
          <w:color w:val="FF0000"/>
          <w:sz w:val="24"/>
        </w:rPr>
        <w:t>Kết quả nghiên cứu định lượng</w:t>
      </w:r>
    </w:p>
    <w:p>
      <w:r>
        <w:rPr>
          <w:rFonts w:ascii="Times New Roman" w:hAnsi="Times New Roman"/>
          <w:b/>
          <w:color w:val="0070C0"/>
          <w:sz w:val="24"/>
        </w:rPr>
        <w:t>Bảng 1 (từ Table 1-2 gốc). Xu hướng 2012 → 2019: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Chỉ số</w:t>
            </w:r>
          </w:p>
        </w:tc>
        <w:tc>
          <w:tcPr>
            <w:tcW w:type="dxa" w:w="2351"/>
            <w:tcW w:w="1417" w:type="dxa"/>
            <w:shd w:fill="D9E2F3" w:val="clear"/>
          </w:tcPr>
          <w:p>
            <w:pPr>
              <w:jc w:val="center"/>
            </w:pPr>
            <w:r>
              <w:rPr>
                <w:rFonts w:ascii="Times New Roman" w:hAnsi="Times New Roman"/>
                <w:b/>
                <w:sz w:val="20"/>
              </w:rPr>
              <w:t>2012</w:t>
            </w:r>
          </w:p>
        </w:tc>
        <w:tc>
          <w:tcPr>
            <w:tcW w:type="dxa" w:w="2351"/>
            <w:tcW w:w="1984" w:type="dxa"/>
            <w:shd w:fill="D9E2F3" w:val="clear"/>
          </w:tcPr>
          <w:p>
            <w:pPr>
              <w:jc w:val="center"/>
            </w:pPr>
            <w:r>
              <w:rPr>
                <w:rFonts w:ascii="Times New Roman" w:hAnsi="Times New Roman"/>
                <w:b/>
                <w:sz w:val="20"/>
              </w:rPr>
              <w:t>2019</w:t>
            </w:r>
          </w:p>
        </w:tc>
        <w:tc>
          <w:tcPr>
            <w:tcW w:type="dxa" w:w="2351"/>
            <w:tcW w:w="1701" w:type="dxa"/>
            <w:shd w:fill="D9E2F3" w:val="clear"/>
          </w:tcPr>
          <w:p>
            <w:pPr>
              <w:jc w:val="center"/>
            </w:pPr>
            <w:r>
              <w:rPr>
                <w:rFonts w:ascii="Times New Roman" w:hAnsi="Times New Roman"/>
                <w:b/>
                <w:sz w:val="20"/>
              </w:rPr>
              <w:t>Xu hướng</w:t>
            </w:r>
          </w:p>
        </w:tc>
      </w:tr>
      <w:tr>
        <w:tc>
          <w:tcPr>
            <w:tcW w:type="dxa" w:w="2351"/>
            <w:tcW w:w="1984" w:type="dxa"/>
          </w:tcPr>
          <w:p>
            <w:r>
              <w:rPr>
                <w:rFonts w:ascii="Times New Roman" w:hAnsi="Times New Roman"/>
                <w:sz w:val="20"/>
              </w:rPr>
              <w:t>Trầm cảm</w:t>
            </w:r>
          </w:p>
        </w:tc>
        <w:tc>
          <w:tcPr>
            <w:tcW w:type="dxa" w:w="2351"/>
            <w:tcW w:w="1417" w:type="dxa"/>
          </w:tcPr>
          <w:p>
            <w:r>
              <w:rPr>
                <w:rFonts w:ascii="Times New Roman" w:hAnsi="Times New Roman"/>
                <w:sz w:val="20"/>
              </w:rPr>
              <w:t>Mức cơ sở</w:t>
            </w:r>
          </w:p>
        </w:tc>
        <w:tc>
          <w:tcPr>
            <w:tcW w:type="dxa" w:w="2351"/>
            <w:tcW w:w="1984" w:type="dxa"/>
          </w:tcPr>
          <w:p>
            <w:r>
              <w:rPr>
                <w:rFonts w:ascii="Times New Roman" w:hAnsi="Times New Roman"/>
                <w:sz w:val="20"/>
              </w:rPr>
              <w:t>TĂNG có ý nghĩa</w:t>
            </w:r>
          </w:p>
        </w:tc>
        <w:tc>
          <w:tcPr>
            <w:tcW w:type="dxa" w:w="2351"/>
            <w:tcW w:w="1701" w:type="dxa"/>
          </w:tcPr>
          <w:p>
            <w:r>
              <w:rPr>
                <w:rFonts w:ascii="Times New Roman" w:hAnsi="Times New Roman"/>
                <w:sz w:val="20"/>
              </w:rPr>
              <w:t>P &lt; 0,05</w:t>
            </w:r>
          </w:p>
        </w:tc>
      </w:tr>
      <w:tr>
        <w:tc>
          <w:tcPr>
            <w:tcW w:type="dxa" w:w="2351"/>
            <w:tcW w:w="1984" w:type="dxa"/>
          </w:tcPr>
          <w:p>
            <w:r>
              <w:rPr>
                <w:rFonts w:ascii="Times New Roman" w:hAnsi="Times New Roman"/>
                <w:sz w:val="20"/>
              </w:rPr>
              <w:t>Lo âu</w:t>
            </w:r>
          </w:p>
        </w:tc>
        <w:tc>
          <w:tcPr>
            <w:tcW w:type="dxa" w:w="2351"/>
            <w:tcW w:w="1417" w:type="dxa"/>
          </w:tcPr>
          <w:p>
            <w:r>
              <w:rPr>
                <w:rFonts w:ascii="Times New Roman" w:hAnsi="Times New Roman"/>
                <w:sz w:val="20"/>
              </w:rPr>
              <w:t>Mức cơ sở</w:t>
            </w:r>
          </w:p>
        </w:tc>
        <w:tc>
          <w:tcPr>
            <w:tcW w:type="dxa" w:w="2351"/>
            <w:tcW w:w="1984" w:type="dxa"/>
          </w:tcPr>
          <w:p>
            <w:r>
              <w:rPr>
                <w:rFonts w:ascii="Times New Roman" w:hAnsi="Times New Roman"/>
                <w:sz w:val="20"/>
              </w:rPr>
              <w:t>TĂNG có ý nghĩa</w:t>
            </w:r>
          </w:p>
        </w:tc>
        <w:tc>
          <w:tcPr>
            <w:tcW w:type="dxa" w:w="2351"/>
            <w:tcW w:w="1701" w:type="dxa"/>
          </w:tcPr>
          <w:p>
            <w:r>
              <w:rPr>
                <w:rFonts w:ascii="Times New Roman" w:hAnsi="Times New Roman"/>
                <w:sz w:val="20"/>
              </w:rPr>
              <w:t>P &lt; 0,05</w:t>
            </w:r>
          </w:p>
        </w:tc>
      </w:tr>
      <w:tr>
        <w:tc>
          <w:tcPr>
            <w:tcW w:type="dxa" w:w="2351"/>
            <w:tcW w:w="1984" w:type="dxa"/>
          </w:tcPr>
          <w:p>
            <w:r>
              <w:rPr>
                <w:rFonts w:ascii="Times New Roman" w:hAnsi="Times New Roman"/>
                <w:sz w:val="20"/>
              </w:rPr>
              <w:t>Nữ</w:t>
            </w:r>
          </w:p>
        </w:tc>
        <w:tc>
          <w:tcPr>
            <w:tcW w:type="dxa" w:w="2351"/>
            <w:tcW w:w="1417" w:type="dxa"/>
          </w:tcPr>
          <w:p>
            <w:r>
              <w:rPr>
                <w:rFonts w:ascii="Times New Roman" w:hAnsi="Times New Roman"/>
                <w:sz w:val="20"/>
              </w:rPr>
            </w:r>
          </w:p>
        </w:tc>
        <w:tc>
          <w:tcPr>
            <w:tcW w:type="dxa" w:w="2351"/>
            <w:tcW w:w="1984" w:type="dxa"/>
          </w:tcPr>
          <w:p>
            <w:r>
              <w:rPr>
                <w:rFonts w:ascii="Times New Roman" w:hAnsi="Times New Roman"/>
                <w:sz w:val="20"/>
              </w:rPr>
              <w:t>Tăng NHANH hơn nam</w:t>
            </w:r>
          </w:p>
        </w:tc>
        <w:tc>
          <w:tcPr>
            <w:tcW w:type="dxa" w:w="2351"/>
            <w:tcW w:w="1701" w:type="dxa"/>
          </w:tcPr>
          <w:p>
            <w:r>
              <w:rPr>
                <w:rFonts w:ascii="Times New Roman" w:hAnsi="Times New Roman"/>
                <w:sz w:val="20"/>
              </w:rPr>
              <w:t>Nhất quán y văn</w:t>
            </w:r>
          </w:p>
        </w:tc>
      </w:tr>
      <w:tr>
        <w:tc>
          <w:tcPr>
            <w:tcW w:type="dxa" w:w="2351"/>
            <w:tcW w:w="1984" w:type="dxa"/>
          </w:tcPr>
          <w:p>
            <w:r>
              <w:rPr>
                <w:rFonts w:ascii="Times New Roman" w:hAnsi="Times New Roman"/>
                <w:sz w:val="20"/>
              </w:rPr>
              <w:t>Nam</w:t>
            </w:r>
          </w:p>
        </w:tc>
        <w:tc>
          <w:tcPr>
            <w:tcW w:type="dxa" w:w="2351"/>
            <w:tcW w:w="1417" w:type="dxa"/>
          </w:tcPr>
          <w:p>
            <w:r>
              <w:rPr>
                <w:rFonts w:ascii="Times New Roman" w:hAnsi="Times New Roman"/>
                <w:sz w:val="20"/>
              </w:rPr>
            </w:r>
          </w:p>
        </w:tc>
        <w:tc>
          <w:tcPr>
            <w:tcW w:type="dxa" w:w="2351"/>
            <w:tcW w:w="1984" w:type="dxa"/>
          </w:tcPr>
          <w:p>
            <w:r>
              <w:rPr>
                <w:rFonts w:ascii="Times New Roman" w:hAnsi="Times New Roman"/>
                <w:sz w:val="20"/>
              </w:rPr>
              <w:t>Tăng chậm hơn</w:t>
            </w:r>
          </w:p>
        </w:tc>
        <w:tc>
          <w:tcPr>
            <w:tcW w:type="dxa" w:w="2351"/>
            <w:tcW w:w="1701" w:type="dxa"/>
          </w:tcPr>
          <w:p>
            <w:r>
              <w:rPr>
                <w:rFonts w:ascii="Times New Roman" w:hAnsi="Times New Roman"/>
                <w:sz w:val="20"/>
              </w:rPr>
            </w:r>
          </w:p>
        </w:tc>
      </w:tr>
    </w:tbl>
    <w:p/>
    <w:p>
      <w:r>
        <w:rPr>
          <w:rFonts w:ascii="Times New Roman" w:hAnsi="Times New Roman"/>
          <w:b/>
          <w:color w:val="0070C0"/>
          <w:sz w:val="24"/>
        </w:rPr>
        <w:t>Bảng 2 (từ Table 3-4 gốc). Yếu tố dự báo:</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Yếu tố</w:t>
            </w:r>
          </w:p>
        </w:tc>
        <w:tc>
          <w:tcPr>
            <w:tcW w:type="dxa" w:w="3135"/>
            <w:tcW w:w="1701" w:type="dxa"/>
            <w:shd w:fill="D9E2F3" w:val="clear"/>
          </w:tcPr>
          <w:p>
            <w:pPr>
              <w:jc w:val="center"/>
            </w:pPr>
            <w:r>
              <w:rPr>
                <w:rFonts w:ascii="Times New Roman" w:hAnsi="Times New Roman"/>
                <w:b/>
                <w:sz w:val="20"/>
              </w:rPr>
              <w:t>Loại</w:t>
            </w:r>
          </w:p>
        </w:tc>
        <w:tc>
          <w:tcPr>
            <w:tcW w:type="dxa" w:w="3135"/>
            <w:tcW w:w="2835" w:type="dxa"/>
            <w:shd w:fill="D9E2F3" w:val="clear"/>
          </w:tcPr>
          <w:p>
            <w:pPr>
              <w:jc w:val="center"/>
            </w:pPr>
            <w:r>
              <w:rPr>
                <w:rFonts w:ascii="Times New Roman" w:hAnsi="Times New Roman"/>
                <w:b/>
                <w:sz w:val="20"/>
              </w:rPr>
              <w:t>Nhất quán 2012 + 2019?</w:t>
            </w:r>
          </w:p>
        </w:tc>
      </w:tr>
      <w:tr>
        <w:tc>
          <w:tcPr>
            <w:tcW w:type="dxa" w:w="3135"/>
            <w:tcW w:w="2268" w:type="dxa"/>
          </w:tcPr>
          <w:p>
            <w:r>
              <w:rPr>
                <w:rFonts w:ascii="Times New Roman" w:hAnsi="Times New Roman"/>
                <w:sz w:val="20"/>
              </w:rPr>
              <w:t>Lòng tự trọng</w:t>
            </w:r>
          </w:p>
        </w:tc>
        <w:tc>
          <w:tcPr>
            <w:tcW w:type="dxa" w:w="3135"/>
            <w:tcW w:w="1701" w:type="dxa"/>
          </w:tcPr>
          <w:p>
            <w:r>
              <w:rPr>
                <w:rFonts w:ascii="Times New Roman" w:hAnsi="Times New Roman"/>
                <w:sz w:val="20"/>
              </w:rPr>
              <w:t>Bảo vệ</w:t>
            </w:r>
          </w:p>
        </w:tc>
        <w:tc>
          <w:tcPr>
            <w:tcW w:type="dxa" w:w="3135"/>
            <w:tcW w:w="2835" w:type="dxa"/>
          </w:tcPr>
          <w:p>
            <w:r>
              <w:rPr>
                <w:rFonts w:ascii="Times New Roman" w:hAnsi="Times New Roman"/>
                <w:sz w:val="20"/>
              </w:rPr>
              <w:t>Có — nhất quán cả 2 đợt</w:t>
            </w:r>
          </w:p>
        </w:tc>
      </w:tr>
      <w:tr>
        <w:tc>
          <w:tcPr>
            <w:tcW w:type="dxa" w:w="3135"/>
            <w:tcW w:w="2268" w:type="dxa"/>
          </w:tcPr>
          <w:p>
            <w:r>
              <w:rPr>
                <w:rFonts w:ascii="Times New Roman" w:hAnsi="Times New Roman"/>
                <w:sz w:val="20"/>
              </w:rPr>
              <w:t>Hỗ trợ xã hội</w:t>
            </w:r>
          </w:p>
        </w:tc>
        <w:tc>
          <w:tcPr>
            <w:tcW w:type="dxa" w:w="3135"/>
            <w:tcW w:w="1701" w:type="dxa"/>
          </w:tcPr>
          <w:p>
            <w:r>
              <w:rPr>
                <w:rFonts w:ascii="Times New Roman" w:hAnsi="Times New Roman"/>
                <w:sz w:val="20"/>
              </w:rPr>
              <w:t>Bảo vệ</w:t>
            </w:r>
          </w:p>
        </w:tc>
        <w:tc>
          <w:tcPr>
            <w:tcW w:type="dxa" w:w="3135"/>
            <w:tcW w:w="2835" w:type="dxa"/>
          </w:tcPr>
          <w:p>
            <w:r>
              <w:rPr>
                <w:rFonts w:ascii="Times New Roman" w:hAnsi="Times New Roman"/>
                <w:sz w:val="20"/>
              </w:rPr>
              <w:t>Có</w:t>
            </w:r>
          </w:p>
        </w:tc>
      </w:tr>
      <w:tr>
        <w:tc>
          <w:tcPr>
            <w:tcW w:type="dxa" w:w="3135"/>
            <w:tcW w:w="2268" w:type="dxa"/>
          </w:tcPr>
          <w:p>
            <w:r>
              <w:rPr>
                <w:rFonts w:ascii="Times New Roman" w:hAnsi="Times New Roman"/>
                <w:sz w:val="20"/>
              </w:rPr>
              <w:t>Hoạt động thể chất</w:t>
            </w:r>
          </w:p>
        </w:tc>
        <w:tc>
          <w:tcPr>
            <w:tcW w:type="dxa" w:w="3135"/>
            <w:tcW w:w="1701" w:type="dxa"/>
          </w:tcPr>
          <w:p>
            <w:r>
              <w:rPr>
                <w:rFonts w:ascii="Times New Roman" w:hAnsi="Times New Roman"/>
                <w:sz w:val="20"/>
              </w:rPr>
              <w:t>Bảo vệ</w:t>
            </w:r>
          </w:p>
        </w:tc>
        <w:tc>
          <w:tcPr>
            <w:tcW w:type="dxa" w:w="3135"/>
            <w:tcW w:w="2835" w:type="dxa"/>
          </w:tcPr>
          <w:p>
            <w:r>
              <w:rPr>
                <w:rFonts w:ascii="Times New Roman" w:hAnsi="Times New Roman"/>
                <w:sz w:val="20"/>
              </w:rPr>
              <w:t>Có</w:t>
            </w:r>
          </w:p>
        </w:tc>
      </w:tr>
      <w:tr>
        <w:tc>
          <w:tcPr>
            <w:tcW w:type="dxa" w:w="3135"/>
            <w:tcW w:w="2268" w:type="dxa"/>
          </w:tcPr>
          <w:p>
            <w:r>
              <w:rPr>
                <w:rFonts w:ascii="Times New Roman" w:hAnsi="Times New Roman"/>
                <w:sz w:val="20"/>
              </w:rPr>
              <w:t>Bắt nạt</w:t>
            </w:r>
          </w:p>
        </w:tc>
        <w:tc>
          <w:tcPr>
            <w:tcW w:type="dxa" w:w="3135"/>
            <w:tcW w:w="1701" w:type="dxa"/>
          </w:tcPr>
          <w:p>
            <w:r>
              <w:rPr>
                <w:rFonts w:ascii="Times New Roman" w:hAnsi="Times New Roman"/>
                <w:sz w:val="20"/>
              </w:rPr>
              <w:t>Nguy cơ</w:t>
            </w:r>
          </w:p>
        </w:tc>
        <w:tc>
          <w:tcPr>
            <w:tcW w:type="dxa" w:w="3135"/>
            <w:tcW w:w="2835" w:type="dxa"/>
          </w:tcPr>
          <w:p>
            <w:r>
              <w:rPr>
                <w:rFonts w:ascii="Times New Roman" w:hAnsi="Times New Roman"/>
                <w:sz w:val="20"/>
              </w:rPr>
              <w:t>Có</w:t>
            </w:r>
          </w:p>
        </w:tc>
      </w:tr>
      <w:tr>
        <w:tc>
          <w:tcPr>
            <w:tcW w:type="dxa" w:w="3135"/>
            <w:tcW w:w="2268" w:type="dxa"/>
          </w:tcPr>
          <w:p>
            <w:r>
              <w:rPr>
                <w:rFonts w:ascii="Times New Roman" w:hAnsi="Times New Roman"/>
                <w:sz w:val="20"/>
              </w:rPr>
              <w:t>Screen time / MXH</w:t>
            </w:r>
          </w:p>
        </w:tc>
        <w:tc>
          <w:tcPr>
            <w:tcW w:type="dxa" w:w="3135"/>
            <w:tcW w:w="1701" w:type="dxa"/>
          </w:tcPr>
          <w:p>
            <w:r>
              <w:rPr>
                <w:rFonts w:ascii="Times New Roman" w:hAnsi="Times New Roman"/>
                <w:sz w:val="20"/>
              </w:rPr>
              <w:t>Nguy cơ</w:t>
            </w:r>
          </w:p>
        </w:tc>
        <w:tc>
          <w:tcPr>
            <w:tcW w:type="dxa" w:w="3135"/>
            <w:tcW w:w="2835" w:type="dxa"/>
          </w:tcPr>
          <w:p>
            <w:r>
              <w:rPr>
                <w:rFonts w:ascii="Times New Roman" w:hAnsi="Times New Roman"/>
                <w:sz w:val="20"/>
              </w:rPr>
              <w:t>Có (tăng 2019)</w:t>
            </w:r>
          </w:p>
        </w:tc>
      </w:tr>
      <w:tr>
        <w:tc>
          <w:tcPr>
            <w:tcW w:type="dxa" w:w="3135"/>
            <w:tcW w:w="2268" w:type="dxa"/>
          </w:tcPr>
          <w:p>
            <w:r>
              <w:rPr>
                <w:rFonts w:ascii="Times New Roman" w:hAnsi="Times New Roman"/>
                <w:sz w:val="20"/>
              </w:rPr>
              <w:t>Stress</w:t>
            </w:r>
          </w:p>
        </w:tc>
        <w:tc>
          <w:tcPr>
            <w:tcW w:type="dxa" w:w="3135"/>
            <w:tcW w:w="1701" w:type="dxa"/>
          </w:tcPr>
          <w:p>
            <w:r>
              <w:rPr>
                <w:rFonts w:ascii="Times New Roman" w:hAnsi="Times New Roman"/>
                <w:sz w:val="20"/>
              </w:rPr>
              <w:t>Nguy cơ</w:t>
            </w:r>
          </w:p>
        </w:tc>
        <w:tc>
          <w:tcPr>
            <w:tcW w:type="dxa" w:w="3135"/>
            <w:tcW w:w="2835" w:type="dxa"/>
          </w:tcPr>
          <w:p>
            <w:r>
              <w:rPr>
                <w:rFonts w:ascii="Times New Roman" w:hAnsi="Times New Roman"/>
                <w:sz w:val="20"/>
              </w:rPr>
              <w:t>Có</w:t>
            </w:r>
          </w:p>
        </w:tc>
      </w:tr>
    </w:tbl>
    <w:p/>
    <w:p>
      <w:r>
        <w:rPr>
          <w:rFonts w:ascii="Times New Roman" w:hAnsi="Times New Roman"/>
          <w:b/>
          <w:color w:val="0070C0"/>
          <w:sz w:val="24"/>
        </w:rPr>
        <w:t>Bảng 3. So sánh xu hướng Ireland với các nước: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Nước</w:t>
            </w:r>
          </w:p>
        </w:tc>
        <w:tc>
          <w:tcPr>
            <w:tcW w:type="dxa" w:w="2351"/>
            <w:tcW w:w="1417" w:type="dxa"/>
            <w:shd w:fill="D9E2F3" w:val="clear"/>
          </w:tcPr>
          <w:p>
            <w:pPr>
              <w:jc w:val="center"/>
            </w:pPr>
            <w:r>
              <w:rPr>
                <w:rFonts w:ascii="Times New Roman" w:hAnsi="Times New Roman"/>
                <w:b/>
                <w:sz w:val="20"/>
              </w:rPr>
              <w:t>Giai đoạn</w:t>
            </w:r>
          </w:p>
        </w:tc>
        <w:tc>
          <w:tcPr>
            <w:tcW w:type="dxa" w:w="2351"/>
            <w:tcW w:w="1984" w:type="dxa"/>
            <w:shd w:fill="D9E2F3" w:val="clear"/>
          </w:tcPr>
          <w:p>
            <w:pPr>
              <w:jc w:val="center"/>
            </w:pPr>
            <w:r>
              <w:rPr>
                <w:rFonts w:ascii="Times New Roman" w:hAnsi="Times New Roman"/>
                <w:b/>
                <w:sz w:val="20"/>
              </w:rPr>
              <w:t>Xu hướng</w:t>
            </w:r>
          </w:p>
        </w:tc>
        <w:tc>
          <w:tcPr>
            <w:tcW w:type="dxa" w:w="2351"/>
            <w:tcW w:w="1984" w:type="dxa"/>
            <w:shd w:fill="D9E2F3" w:val="clear"/>
          </w:tcPr>
          <w:p>
            <w:pPr>
              <w:jc w:val="center"/>
            </w:pPr>
            <w:r>
              <w:rPr>
                <w:rFonts w:ascii="Times New Roman" w:hAnsi="Times New Roman"/>
                <w:b/>
                <w:sz w:val="20"/>
              </w:rPr>
              <w:t>Phương pháp</w:t>
            </w:r>
          </w:p>
        </w:tc>
      </w:tr>
      <w:tr>
        <w:tc>
          <w:tcPr>
            <w:tcW w:type="dxa" w:w="2351"/>
            <w:tcW w:w="1701" w:type="dxa"/>
          </w:tcPr>
          <w:p>
            <w:r>
              <w:rPr>
                <w:rFonts w:ascii="Times New Roman" w:hAnsi="Times New Roman"/>
                <w:sz w:val="20"/>
              </w:rPr>
              <w:t>Ireland (bài này)</w:t>
            </w:r>
          </w:p>
        </w:tc>
        <w:tc>
          <w:tcPr>
            <w:tcW w:type="dxa" w:w="2351"/>
            <w:tcW w:w="1417" w:type="dxa"/>
          </w:tcPr>
          <w:p>
            <w:r>
              <w:rPr>
                <w:rFonts w:ascii="Times New Roman" w:hAnsi="Times New Roman"/>
                <w:sz w:val="20"/>
              </w:rPr>
              <w:t>2012–2019</w:t>
            </w:r>
          </w:p>
        </w:tc>
        <w:tc>
          <w:tcPr>
            <w:tcW w:type="dxa" w:w="2351"/>
            <w:tcW w:w="1984" w:type="dxa"/>
          </w:tcPr>
          <w:p>
            <w:r>
              <w:rPr>
                <w:rFonts w:ascii="Times New Roman" w:hAnsi="Times New Roman"/>
                <w:sz w:val="20"/>
              </w:rPr>
              <w:t>Tăng, nữ nhanh hơn</w:t>
            </w:r>
          </w:p>
        </w:tc>
        <w:tc>
          <w:tcPr>
            <w:tcW w:type="dxa" w:w="2351"/>
            <w:tcW w:w="1984" w:type="dxa"/>
          </w:tcPr>
          <w:p>
            <w:r>
              <w:rPr>
                <w:rFonts w:ascii="Times New Roman" w:hAnsi="Times New Roman"/>
                <w:sz w:val="20"/>
              </w:rPr>
              <w:t>Cắt ngang lặp lại</w:t>
            </w:r>
          </w:p>
        </w:tc>
      </w:tr>
      <w:tr>
        <w:tc>
          <w:tcPr>
            <w:tcW w:type="dxa" w:w="2351"/>
            <w:tcW w:w="1701" w:type="dxa"/>
          </w:tcPr>
          <w:p>
            <w:r>
              <w:rPr>
                <w:rFonts w:ascii="Times New Roman" w:hAnsi="Times New Roman"/>
                <w:sz w:val="20"/>
              </w:rPr>
              <w:t>Na Uy (QT21)</w:t>
            </w:r>
          </w:p>
        </w:tc>
        <w:tc>
          <w:tcPr>
            <w:tcW w:type="dxa" w:w="2351"/>
            <w:tcW w:w="1417" w:type="dxa"/>
          </w:tcPr>
          <w:p>
            <w:r>
              <w:rPr>
                <w:rFonts w:ascii="Times New Roman" w:hAnsi="Times New Roman"/>
                <w:sz w:val="20"/>
              </w:rPr>
              <w:t>2011–2024</w:t>
            </w:r>
          </w:p>
        </w:tc>
        <w:tc>
          <w:tcPr>
            <w:tcW w:type="dxa" w:w="2351"/>
            <w:tcW w:w="1984" w:type="dxa"/>
          </w:tcPr>
          <w:p>
            <w:r>
              <w:rPr>
                <w:rFonts w:ascii="Times New Roman" w:hAnsi="Times New Roman"/>
                <w:sz w:val="20"/>
              </w:rPr>
              <w:t>Tăng liên tục 13 năm</w:t>
            </w:r>
          </w:p>
        </w:tc>
        <w:tc>
          <w:tcPr>
            <w:tcW w:type="dxa" w:w="2351"/>
            <w:tcW w:w="1984" w:type="dxa"/>
          </w:tcPr>
          <w:p>
            <w:r>
              <w:rPr>
                <w:rFonts w:ascii="Times New Roman" w:hAnsi="Times New Roman"/>
                <w:sz w:val="20"/>
              </w:rPr>
              <w:t>Decomposition</w:t>
            </w:r>
          </w:p>
        </w:tc>
      </w:tr>
      <w:tr>
        <w:tc>
          <w:tcPr>
            <w:tcW w:type="dxa" w:w="2351"/>
            <w:tcW w:w="1701" w:type="dxa"/>
          </w:tcPr>
          <w:p>
            <w:r>
              <w:rPr>
                <w:rFonts w:ascii="Times New Roman" w:hAnsi="Times New Roman"/>
                <w:sz w:val="20"/>
              </w:rPr>
              <w:t>Hoa Kỳ (QT23)</w:t>
            </w:r>
          </w:p>
        </w:tc>
        <w:tc>
          <w:tcPr>
            <w:tcW w:type="dxa" w:w="2351"/>
            <w:tcW w:w="1417" w:type="dxa"/>
          </w:tcPr>
          <w:p>
            <w:r>
              <w:rPr>
                <w:rFonts w:ascii="Times New Roman" w:hAnsi="Times New Roman"/>
                <w:sz w:val="20"/>
              </w:rPr>
              <w:t>2013–2021</w:t>
            </w:r>
          </w:p>
        </w:tc>
        <w:tc>
          <w:tcPr>
            <w:tcW w:type="dxa" w:w="2351"/>
            <w:tcW w:w="1984" w:type="dxa"/>
          </w:tcPr>
          <w:p>
            <w:r>
              <w:rPr>
                <w:rFonts w:ascii="Times New Roman" w:hAnsi="Times New Roman"/>
                <w:sz w:val="20"/>
              </w:rPr>
              <w:t>Lo âu +100% (AOR=2,17)</w:t>
            </w:r>
          </w:p>
        </w:tc>
        <w:tc>
          <w:tcPr>
            <w:tcW w:type="dxa" w:w="2351"/>
            <w:tcW w:w="1984" w:type="dxa"/>
          </w:tcPr>
          <w:p>
            <w:r>
              <w:rPr>
                <w:rFonts w:ascii="Times New Roman" w:hAnsi="Times New Roman"/>
                <w:sz w:val="20"/>
              </w:rPr>
              <w:t>Hồ sơ lâm sàng</w:t>
            </w:r>
          </w:p>
        </w:tc>
      </w:tr>
      <w:tr>
        <w:tc>
          <w:tcPr>
            <w:tcW w:type="dxa" w:w="2351"/>
            <w:tcW w:w="1701" w:type="dxa"/>
          </w:tcPr>
          <w:p>
            <w:r>
              <w:rPr>
                <w:rFonts w:ascii="Times New Roman" w:hAnsi="Times New Roman"/>
                <w:sz w:val="20"/>
              </w:rPr>
              <w:t>Hàn Quốc (QT34)</w:t>
            </w:r>
          </w:p>
        </w:tc>
        <w:tc>
          <w:tcPr>
            <w:tcW w:type="dxa" w:w="2351"/>
            <w:tcW w:w="1417" w:type="dxa"/>
          </w:tcPr>
          <w:p>
            <w:r>
              <w:rPr>
                <w:rFonts w:ascii="Times New Roman" w:hAnsi="Times New Roman"/>
                <w:sz w:val="20"/>
              </w:rPr>
              <w:t>2006–2022</w:t>
            </w:r>
          </w:p>
        </w:tc>
        <w:tc>
          <w:tcPr>
            <w:tcW w:type="dxa" w:w="2351"/>
            <w:tcW w:w="1984" w:type="dxa"/>
          </w:tcPr>
          <w:p>
            <w:r>
              <w:rPr>
                <w:rFonts w:ascii="Times New Roman" w:hAnsi="Times New Roman"/>
                <w:sz w:val="20"/>
              </w:rPr>
              <w:t>Giảm trước, tăng sau COVID</w:t>
            </w:r>
          </w:p>
        </w:tc>
        <w:tc>
          <w:tcPr>
            <w:tcW w:type="dxa" w:w="2351"/>
            <w:tcW w:w="1984" w:type="dxa"/>
          </w:tcPr>
          <w:p>
            <w:r>
              <w:rPr>
                <w:rFonts w:ascii="Times New Roman" w:hAnsi="Times New Roman"/>
                <w:sz w:val="20"/>
              </w:rPr>
              <w:t>KYRBS</w:t>
            </w:r>
          </w:p>
        </w:tc>
      </w:tr>
      <w:tr>
        <w:tc>
          <w:tcPr>
            <w:tcW w:type="dxa" w:w="2351"/>
            <w:tcW w:w="1701" w:type="dxa"/>
          </w:tcPr>
          <w:p>
            <w:r>
              <w:rPr>
                <w:rFonts w:ascii="Times New Roman" w:hAnsi="Times New Roman"/>
                <w:sz w:val="20"/>
              </w:rPr>
              <w:t>Việt Nam (VN14)</w:t>
            </w:r>
          </w:p>
        </w:tc>
        <w:tc>
          <w:tcPr>
            <w:tcW w:type="dxa" w:w="2351"/>
            <w:tcW w:w="1417" w:type="dxa"/>
          </w:tcPr>
          <w:p>
            <w:r>
              <w:rPr>
                <w:rFonts w:ascii="Times New Roman" w:hAnsi="Times New Roman"/>
                <w:sz w:val="20"/>
              </w:rPr>
              <w:t>2021 vs 2023</w:t>
            </w:r>
          </w:p>
        </w:tc>
        <w:tc>
          <w:tcPr>
            <w:tcW w:type="dxa" w:w="2351"/>
            <w:tcW w:w="1984" w:type="dxa"/>
          </w:tcPr>
          <w:p>
            <w:r>
              <w:rPr>
                <w:rFonts w:ascii="Times New Roman" w:hAnsi="Times New Roman"/>
                <w:sz w:val="20"/>
              </w:rPr>
              <w:t>41,5% → 25,4%</w:t>
            </w:r>
          </w:p>
        </w:tc>
        <w:tc>
          <w:tcPr>
            <w:tcW w:type="dxa" w:w="2351"/>
            <w:tcW w:w="1984" w:type="dxa"/>
          </w:tcPr>
          <w:p>
            <w:r>
              <w:rPr>
                <w:rFonts w:ascii="Times New Roman" w:hAnsi="Times New Roman"/>
                <w:sz w:val="20"/>
              </w:rPr>
              <w:t>DASS-21 2 thời điểm</w:t>
            </w:r>
          </w:p>
        </w:tc>
      </w:tr>
    </w:tbl>
    <w:p/>
    <w:p>
      <w:pPr>
        <w:pStyle w:val="Heading3"/>
      </w:pPr>
      <w:r>
        <w:rPr>
          <w:rFonts w:ascii="Times New Roman" w:hAnsi="Times New Roman"/>
          <w:color w:val="0070C0"/>
        </w:rPr>
        <w:t>Đối chiếu liên bài : Xu hướng tăng lo âu/trầm cảm ở Ireland (2012–2019) nhất quán với Na Uy, Mỹ, Hàn Quốc. Nữ tăng nhanh hơn nam ở TẤT CẢ các nước. Các yếu tố bảo vệ (lòng tự trọng, hỗ trợ xã hội, thể chất) phù hợp với Pham 2024 VN (chăm sóc cảm xúc), Qiu 2022 (nuôi dạy tích cực), Zhu 2025 (hoạt động ngoài trời).</w:t>
      </w:r>
    </w:p>
    <w:p>
      <w:r>
        <w:rPr>
          <w:rFonts w:ascii="Times New Roman" w:hAnsi="Times New Roman"/>
          <w:b/>
          <w:color w:val="FF0000"/>
          <w:sz w:val="24"/>
        </w:rPr>
        <w:t>Nhận xét, phát hiện qua kết quả nghiên cứu</w:t>
      </w:r>
    </w:p>
    <w:p>
      <w:r>
        <w:rPr>
          <w:rFonts w:ascii="Times New Roman" w:hAnsi="Times New Roman"/>
          <w:b w:val="0"/>
          <w:color w:val="0070C0"/>
          <w:sz w:val="24"/>
        </w:rPr>
        <w:t>*37–61% phương sai được giải thích.* Tỷ lệ rất cao cho NC tâm lý — gợi ý các yếu tố đã đo lường (tự trọng, hỗ trợ XH, bắt nạt, MXH) nắm bắt phần lớn cơ chế.</w:t>
      </w:r>
    </w:p>
    <w:p>
      <w:r>
        <w:rPr>
          <w:rFonts w:ascii="Times New Roman" w:hAnsi="Times New Roman"/>
          <w:b w:val="0"/>
          <w:color w:val="0070C0"/>
          <w:sz w:val="24"/>
        </w:rPr>
        <w:t>*Nữ tăng nhanh hơn.* Nhất quán toàn cầu. Gợi ý can thiệp ưu tiên nữ VTN.</w:t>
      </w:r>
    </w:p>
    <w:p>
      <w:r>
        <w:rPr>
          <w:rFonts w:ascii="Times New Roman" w:hAnsi="Times New Roman"/>
          <w:b w:val="0"/>
          <w:color w:val="0070C0"/>
          <w:sz w:val="24"/>
        </w:rPr>
        <w:t>*MXH tăng vai trò 2019 vs 2012.* Phù hợp với sự phổ biến smartphone + Nature 2025.</w:t>
      </w:r>
    </w:p>
    <w:p>
      <w:r>
        <w:rPr>
          <w:rFonts w:ascii="Times New Roman" w:hAnsi="Times New Roman"/>
          <w:b/>
          <w:color w:val="FF0000"/>
          <w:sz w:val="24"/>
        </w:rPr>
        <w:t>Kết luận</w:t>
      </w:r>
    </w:p>
    <w:p>
      <w:r>
        <w:rPr>
          <w:rFonts w:ascii="Times New Roman" w:hAnsi="Times New Roman"/>
          <w:b/>
          <w:color w:val="0070C0"/>
          <w:sz w:val="24"/>
        </w:rPr>
        <w:t>Dữ liệu cắt ngang lặp lại từ Ireland, cho thấy trầm cảm và lo âu ở VTN tăng đáng kể từ 2012 đến 2019 với nữ tăng nhanh hơn nam, và các yếu tố bảo vệ (tự trọng, hỗ trợ XH, thể chất) nhất quán cả 2 đợt, gợi ý rằng can thiệp tăng cường lòng tự trọng và hỗ trợ xã hội có thể hiệu quả xuyên thời gian và văn hóa.</w:t>
      </w:r>
    </w:p>
    <w:p>
      <w:pPr>
        <w:pStyle w:val="Heading2"/>
      </w:pPr>
      <w:r>
        <w:rPr>
          <w:rFonts w:ascii="Times New Roman" w:hAnsi="Times New Roman"/>
          <w:color w:val="FF0000"/>
        </w:rPr>
        <w:t>Phản biện</w:t>
      </w:r>
    </w:p>
    <w:p>
      <w:r>
        <w:rPr>
          <w:rFonts w:ascii="Times New Roman" w:hAnsi="Times New Roman"/>
          <w:b w:val="0"/>
          <w:color w:val="0070C0"/>
          <w:sz w:val="24"/>
        </w:rPr>
        <w:t>Cắt ngang lặp lại — tốt hơn đơn cắt ngang. 37–61% phương sai giải thích — cao. Tuy nhiên, chỉ Ireland, 2 mẫu khác nhau (không dọc). Công cụ đo cụ thể cần kiểm tra từ PDF.</w:t>
      </w:r>
    </w:p>
    <w:p>
      <w:pPr>
        <w:pStyle w:val="Heading2"/>
      </w:pPr>
      <w:r>
        <w:rPr>
          <w:rFonts w:ascii="Times New Roman" w:hAnsi="Times New Roman"/>
          <w:color w:val="FF0000"/>
        </w:rPr>
        <w:t>Hướng nghiên cứu tiếp theo</w:t>
      </w:r>
    </w:p>
    <w:p>
      <w:r>
        <w:rPr>
          <w:rFonts w:ascii="Times New Roman" w:hAnsi="Times New Roman"/>
          <w:b w:val="0"/>
          <w:color w:val="0070C0"/>
          <w:sz w:val="24"/>
        </w:rPr>
        <w:t>Cắt ngang lặp lại tương tự tại VN (2 đợt cách 5–7 năm). So sánh yếu tố dự báo Ireland vs VN. Can thiệp tăng lòng tự trọng tại trường THPT VN.</w:t>
      </w:r>
    </w:p>
    <w:p>
      <w:r>
        <w:rPr>
          <w:rFonts w:ascii="Times New Roman" w:hAnsi="Times New Roman"/>
          <w:b/>
          <w:sz w:val="24"/>
        </w:rPr>
        <w:t>Đánh giá: ⭐⭐⭐⭐ Cao. Cắt ngang lặp lại, xu hướng 7 năm, 37–61% phương sai, yếu tố nhất quán.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