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nguy cơ stress, lo âu, trầm cảm của học sinh trung học phổ thông huyện Yên Định, Thanh Hóa » (Risk of Stress, Anxiety, Depression of High School Students in Yen Dinh, Thanh Hoa), do Nguyễn Danh Lâm (Bệnh viện huyện Yên Định), Lê Minh Giang (Đại học Y Hà Nội), Nguyễn Thị Phương Mai, Nguyễn Thị Diệu Thúy và Nguyễn Thị Thanh Mai (2022), khảo sát trên mẫu 482 học sinh THPT tại 2 trường (THPT Yên Định I: 264 HS; THPT Thống Nhất: 218 HS), huyện Yên Định, tỉnh Thanh Hóa, thu thập tháng 9/2021, xuất bản trên Tạp chí Y học Việt Nam, tập 516, số 1, tháng 7/2022, trang 67–70.</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tự điền tại trường học.</w:t>
      </w:r>
    </w:p>
    <w:p>
      <w:r>
        <w:rPr>
          <w:rFonts w:ascii="Times New Roman" w:hAnsi="Times New Roman"/>
          <w:b w:val="0"/>
          <w:color w:val="0070C0"/>
          <w:sz w:val="24"/>
        </w:rPr>
        <w:t>DASS-21 là phiên bản rút gọn 21 mục của thang gốc 42 mục (Lovibond &amp; Lovibond, 1995), đã được xác thực cho cộng đồng Việt Nam (Thạch và cộng sự, 2013). Thang điểm 4 mức (0–3), phân loại: không rối loạn, nhẹ, vừa, nặng, rất nặng.</w:t>
      </w:r>
    </w:p>
    <w:p>
      <w:r>
        <w:rPr>
          <w:rFonts w:ascii="Times New Roman" w:hAnsi="Times New Roman"/>
          <w:b/>
          <w:color w:val="0070C0"/>
          <w:sz w:val="24"/>
        </w:rPr>
        <w:t>Tổng quan tài liệu của chúng tôi cho thấy vùng bán đô thị Thanh Hóa — nơi có đặc điểm trung gian giữa nông thôn và thành thị — hầu như chưa được khảo sát về sức khỏe tâm thần thanh thiếu niên. Tỷ lệ tham chiếu: 41,1% trầm cảm ở THPT theo Nguyễn Tấn Đạt (2013). Đây là nghiên cứu đầu tiên kết hợp đánh giá DAS và hành vi tự hại tại khu vực này.</w:t>
      </w:r>
    </w:p>
    <w:p>
      <w:r>
        <w:rPr>
          <w:rFonts w:ascii="Times New Roman" w:hAnsi="Times New Roman"/>
          <w:b w:val="0"/>
          <w:color w:val="0070C0"/>
          <w:sz w:val="24"/>
        </w:rPr>
        <w:t>Dữ liệu gồm thông tin cá nhân (bảng hỏi cấu trúc), tình trạng stress, lo âu, trầm cảm (DASS-21), và các câu hỏi về ý định tự làm đau bản thân và tự tử.</w:t>
      </w:r>
    </w:p>
    <w:p>
      <w:r>
        <w:rPr>
          <w:rFonts w:ascii="Times New Roman" w:hAnsi="Times New Roman"/>
          <w:b w:val="0"/>
          <w:color w:val="0070C0"/>
          <w:sz w:val="24"/>
        </w:rPr>
        <w:t>Cỡ mẫu 482 HS, tính theo công thức ước lượng 1 tỷ lệ (p = 0,411, ε = 0,04, α = 0,05). Chọn mẫu có chủ đích, 2 trường THPT, HS tự điền bảng hỏi.</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stress, lo âu, trầm cảm (N = 482,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41,7%</w:t>
            </w:r>
          </w:p>
        </w:tc>
        <w:tc>
          <w:tcPr>
            <w:tcW w:type="dxa" w:w="1567"/>
            <w:tcW w:w="850" w:type="dxa"/>
          </w:tcPr>
          <w:p>
            <w:r>
              <w:rPr>
                <w:rFonts w:ascii="Times New Roman" w:hAnsi="Times New Roman"/>
                <w:sz w:val="20"/>
              </w:rPr>
              <w:t>16,0%</w:t>
            </w:r>
          </w:p>
        </w:tc>
        <w:tc>
          <w:tcPr>
            <w:tcW w:type="dxa" w:w="1567"/>
            <w:tcW w:w="850" w:type="dxa"/>
          </w:tcPr>
          <w:p>
            <w:r>
              <w:rPr>
                <w:rFonts w:ascii="Times New Roman" w:hAnsi="Times New Roman"/>
                <w:sz w:val="20"/>
              </w:rPr>
              <w:t>14,1%</w:t>
            </w:r>
          </w:p>
        </w:tc>
        <w:tc>
          <w:tcPr>
            <w:tcW w:type="dxa" w:w="1567"/>
            <w:tcW w:w="850" w:type="dxa"/>
          </w:tcPr>
          <w:p>
            <w:r>
              <w:rPr>
                <w:rFonts w:ascii="Times New Roman" w:hAnsi="Times New Roman"/>
                <w:sz w:val="20"/>
              </w:rPr>
              <w:t>6,8%</w:t>
            </w:r>
          </w:p>
        </w:tc>
        <w:tc>
          <w:tcPr>
            <w:tcW w:type="dxa" w:w="1567"/>
            <w:tcW w:w="1134" w:type="dxa"/>
          </w:tcPr>
          <w:p>
            <w:r>
              <w:rPr>
                <w:rFonts w:ascii="Times New Roman" w:hAnsi="Times New Roman"/>
                <w:sz w:val="20"/>
              </w:rPr>
              <w:t>4,8%</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49,0%</w:t>
            </w:r>
          </w:p>
        </w:tc>
        <w:tc>
          <w:tcPr>
            <w:tcW w:type="dxa" w:w="1567"/>
            <w:tcW w:w="850" w:type="dxa"/>
          </w:tcPr>
          <w:p>
            <w:r>
              <w:rPr>
                <w:rFonts w:ascii="Times New Roman" w:hAnsi="Times New Roman"/>
                <w:sz w:val="20"/>
              </w:rPr>
              <w:t>7,7%</w:t>
            </w:r>
          </w:p>
        </w:tc>
        <w:tc>
          <w:tcPr>
            <w:tcW w:type="dxa" w:w="1567"/>
            <w:tcW w:w="850" w:type="dxa"/>
          </w:tcPr>
          <w:p>
            <w:r>
              <w:rPr>
                <w:rFonts w:ascii="Times New Roman" w:hAnsi="Times New Roman"/>
                <w:sz w:val="20"/>
              </w:rPr>
              <w:t>24,5%</w:t>
            </w:r>
          </w:p>
        </w:tc>
        <w:tc>
          <w:tcPr>
            <w:tcW w:type="dxa" w:w="1567"/>
            <w:tcW w:w="850" w:type="dxa"/>
          </w:tcPr>
          <w:p>
            <w:r>
              <w:rPr>
                <w:rFonts w:ascii="Times New Roman" w:hAnsi="Times New Roman"/>
                <w:sz w:val="20"/>
              </w:rPr>
              <w:t>8,1%</w:t>
            </w:r>
          </w:p>
        </w:tc>
        <w:tc>
          <w:tcPr>
            <w:tcW w:type="dxa" w:w="1567"/>
            <w:tcW w:w="1134" w:type="dxa"/>
          </w:tcPr>
          <w:p>
            <w:r>
              <w:rPr>
                <w:rFonts w:ascii="Times New Roman" w:hAnsi="Times New Roman"/>
                <w:sz w:val="20"/>
              </w:rPr>
              <w:t>4,6%</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43,6%</w:t>
            </w:r>
          </w:p>
        </w:tc>
        <w:tc>
          <w:tcPr>
            <w:tcW w:type="dxa" w:w="1567"/>
            <w:tcW w:w="850" w:type="dxa"/>
          </w:tcPr>
          <w:p>
            <w:r>
              <w:rPr>
                <w:rFonts w:ascii="Times New Roman" w:hAnsi="Times New Roman"/>
                <w:sz w:val="20"/>
              </w:rPr>
              <w:t>12,2%</w:t>
            </w:r>
          </w:p>
        </w:tc>
        <w:tc>
          <w:tcPr>
            <w:tcW w:type="dxa" w:w="1567"/>
            <w:tcW w:w="850" w:type="dxa"/>
          </w:tcPr>
          <w:p>
            <w:r>
              <w:rPr>
                <w:rFonts w:ascii="Times New Roman" w:hAnsi="Times New Roman"/>
                <w:sz w:val="20"/>
              </w:rPr>
              <w:t>27,2%</w:t>
            </w:r>
          </w:p>
        </w:tc>
        <w:tc>
          <w:tcPr>
            <w:tcW w:type="dxa" w:w="1567"/>
            <w:tcW w:w="850" w:type="dxa"/>
          </w:tcPr>
          <w:p>
            <w:r>
              <w:rPr>
                <w:rFonts w:ascii="Times New Roman" w:hAnsi="Times New Roman"/>
                <w:sz w:val="20"/>
              </w:rPr>
              <w:t>2,9%</w:t>
            </w:r>
          </w:p>
        </w:tc>
        <w:tc>
          <w:tcPr>
            <w:tcW w:type="dxa" w:w="1567"/>
            <w:tcW w:w="1134" w:type="dxa"/>
          </w:tcPr>
          <w:p>
            <w:r>
              <w:rPr>
                <w:rFonts w:ascii="Times New Roman" w:hAnsi="Times New Roman"/>
                <w:sz w:val="20"/>
              </w:rPr>
              <w:t>1,2%</w:t>
            </w:r>
          </w:p>
        </w:tc>
      </w:tr>
    </w:tbl>
    <w:p/>
    <w:p>
      <w:r>
        <w:rPr>
          <w:rFonts w:ascii="Times New Roman" w:hAnsi="Times New Roman"/>
          <w:b/>
          <w:color w:val="0070C0"/>
          <w:sz w:val="24"/>
        </w:rPr>
        <w:t>Hành vi tự hại và tự tử (N = 482):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Biểu hiện</w:t>
            </w:r>
          </w:p>
        </w:tc>
        <w:tc>
          <w:tcPr>
            <w:tcW w:type="dxa" w:w="2351"/>
            <w:tcW w:w="1701" w:type="dxa"/>
            <w:shd w:fill="D9E2F3" w:val="clear"/>
          </w:tcPr>
          <w:p>
            <w:pPr>
              <w:jc w:val="center"/>
            </w:pPr>
            <w:r>
              <w:rPr>
                <w:rFonts w:ascii="Times New Roman" w:hAnsi="Times New Roman"/>
                <w:b/>
                <w:sz w:val="20"/>
              </w:rPr>
              <w:t>Chưa bao giờ</w:t>
            </w:r>
          </w:p>
        </w:tc>
        <w:tc>
          <w:tcPr>
            <w:tcW w:type="dxa" w:w="2351"/>
            <w:tcW w:w="1701" w:type="dxa"/>
            <w:shd w:fill="D9E2F3" w:val="clear"/>
          </w:tcPr>
          <w:p>
            <w:pPr>
              <w:jc w:val="center"/>
            </w:pPr>
            <w:r>
              <w:rPr>
                <w:rFonts w:ascii="Times New Roman" w:hAnsi="Times New Roman"/>
                <w:b/>
                <w:sz w:val="20"/>
              </w:rPr>
              <w:t>Đã nghĩ đến</w:t>
            </w:r>
          </w:p>
        </w:tc>
        <w:tc>
          <w:tcPr>
            <w:tcW w:type="dxa" w:w="2351"/>
            <w:tcW w:w="1701" w:type="dxa"/>
            <w:shd w:fill="D9E2F3" w:val="clear"/>
          </w:tcPr>
          <w:p>
            <w:pPr>
              <w:jc w:val="center"/>
            </w:pPr>
            <w:r>
              <w:rPr>
                <w:rFonts w:ascii="Times New Roman" w:hAnsi="Times New Roman"/>
                <w:b/>
                <w:sz w:val="20"/>
              </w:rPr>
              <w:t>Đã thực hiện</w:t>
            </w:r>
          </w:p>
        </w:tc>
      </w:tr>
      <w:tr>
        <w:tc>
          <w:tcPr>
            <w:tcW w:type="dxa" w:w="2351"/>
            <w:tcW w:w="2268" w:type="dxa"/>
          </w:tcPr>
          <w:p>
            <w:r>
              <w:rPr>
                <w:rFonts w:ascii="Times New Roman" w:hAnsi="Times New Roman"/>
                <w:sz w:val="20"/>
              </w:rPr>
              <w:t>Tự làm đau bản thân</w:t>
            </w:r>
          </w:p>
        </w:tc>
        <w:tc>
          <w:tcPr>
            <w:tcW w:type="dxa" w:w="2351"/>
            <w:tcW w:w="1701" w:type="dxa"/>
          </w:tcPr>
          <w:p>
            <w:r>
              <w:rPr>
                <w:rFonts w:ascii="Times New Roman" w:hAnsi="Times New Roman"/>
                <w:sz w:val="20"/>
              </w:rPr>
              <w:t>292 (58,4%)</w:t>
            </w:r>
          </w:p>
        </w:tc>
        <w:tc>
          <w:tcPr>
            <w:tcW w:type="dxa" w:w="2351"/>
            <w:tcW w:w="1701" w:type="dxa"/>
          </w:tcPr>
          <w:p>
            <w:r>
              <w:rPr>
                <w:rFonts w:ascii="Times New Roman" w:hAnsi="Times New Roman"/>
                <w:sz w:val="20"/>
              </w:rPr>
              <w:t>158 (31,6%)</w:t>
            </w:r>
          </w:p>
        </w:tc>
        <w:tc>
          <w:tcPr>
            <w:tcW w:type="dxa" w:w="2351"/>
            <w:tcW w:w="1701" w:type="dxa"/>
          </w:tcPr>
          <w:p>
            <w:r>
              <w:rPr>
                <w:rFonts w:ascii="Times New Roman" w:hAnsi="Times New Roman"/>
                <w:sz w:val="20"/>
              </w:rPr>
              <w:t>50 (10,0%)</w:t>
            </w:r>
          </w:p>
        </w:tc>
      </w:tr>
      <w:tr>
        <w:tc>
          <w:tcPr>
            <w:tcW w:type="dxa" w:w="2351"/>
            <w:tcW w:w="2268" w:type="dxa"/>
          </w:tcPr>
          <w:p>
            <w:r>
              <w:rPr>
                <w:rFonts w:ascii="Times New Roman" w:hAnsi="Times New Roman"/>
                <w:sz w:val="20"/>
              </w:rPr>
              <w:t>Tự tử</w:t>
            </w:r>
          </w:p>
        </w:tc>
        <w:tc>
          <w:tcPr>
            <w:tcW w:type="dxa" w:w="2351"/>
            <w:tcW w:w="1701" w:type="dxa"/>
          </w:tcPr>
          <w:p>
            <w:r>
              <w:rPr>
                <w:rFonts w:ascii="Times New Roman" w:hAnsi="Times New Roman"/>
                <w:sz w:val="20"/>
              </w:rPr>
              <w:t>375 (75,0%)</w:t>
            </w:r>
          </w:p>
        </w:tc>
        <w:tc>
          <w:tcPr>
            <w:tcW w:type="dxa" w:w="2351"/>
            <w:tcW w:w="1701" w:type="dxa"/>
          </w:tcPr>
          <w:p>
            <w:r>
              <w:rPr>
                <w:rFonts w:ascii="Times New Roman" w:hAnsi="Times New Roman"/>
                <w:sz w:val="20"/>
              </w:rPr>
              <w:t>118 (23,6%)</w:t>
            </w:r>
          </w:p>
        </w:tc>
        <w:tc>
          <w:tcPr>
            <w:tcW w:type="dxa" w:w="2351"/>
            <w:tcW w:w="1701" w:type="dxa"/>
          </w:tcPr>
          <w:p>
            <w:r>
              <w:rPr>
                <w:rFonts w:ascii="Times New Roman" w:hAnsi="Times New Roman"/>
                <w:sz w:val="20"/>
              </w:rPr>
              <w:t>7 (1,4%)</w:t>
            </w:r>
          </w:p>
        </w:tc>
      </w:tr>
    </w:tbl>
    <w:p/>
    <w:p>
      <w:pPr>
        <w:pStyle w:val="Heading3"/>
      </w:pPr>
      <w:r>
        <w:rPr>
          <w:rFonts w:ascii="Times New Roman" w:hAnsi="Times New Roman"/>
          <w:color w:val="0070C0"/>
        </w:rPr>
        <w:t>Phát hiện đặc biệt về tự hại : Có tới 1/3 số trẻ (31,6%) đã từng nghĩ đến tự làm đau bản thân và 10% đã thực sự tự làm đau. Nổi bật hơn, 1/4 số trẻ (23,6%) đã từng nghĩ đến tự tử và 1,4% đã cố tự tử nhưng không thành công. Đây là dữ liệu đáng báo động — ít nghiên cứu tại Việt Nam đánh giá hành vi tự hại trực tiếp.</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tỷ lệ và hành vi tự hại ở vùng bán đô thị</w:t>
      </w:r>
    </w:p>
    <w:p>
      <w:r>
        <w:rPr>
          <w:rFonts w:ascii="Times New Roman" w:hAnsi="Times New Roman"/>
          <w:b w:val="0"/>
          <w:color w:val="0070C0"/>
          <w:sz w:val="24"/>
        </w:rPr>
        <w:t>*Tỷ lệ ở mức trung bình-cao.* Lo âu 49,0% cao hơn Hoa 2024 (GAD-7: 40,6%) nhưng thấp hơn An Giang 2025 (DASS-21: 61,2%) và Bảo Quyên 2025 (DASS-21: 86,2%). Nói cách khác, tỷ lệ tại vùng bán đô thị Thanh Hóa nằm ở mức trung gian — phù hợp với đặc điểm kinh tế xã hội vùng.</w:t>
      </w:r>
    </w:p>
    <w:p>
      <w:r>
        <w:rPr>
          <w:rFonts w:ascii="Times New Roman" w:hAnsi="Times New Roman"/>
          <w:b w:val="0"/>
          <w:color w:val="0070C0"/>
          <w:sz w:val="24"/>
        </w:rPr>
        <w:t>*Hành vi tự hại — dữ liệu quan trọng nhất.* 10% đã tự làm đau và 1,4% đã cố tự tử — đây là thông tin cấp thiết cho can thiệp. So sánh: UNICEF VN báo cáo 5,8% VTN đã cố tự tử. Dữ liệu này cho thấy vùng bán đô thị cũng cần quan tâm, không chỉ đô thị lớn.</w:t>
      </w:r>
    </w:p>
    <w:p>
      <w:r>
        <w:rPr>
          <w:rFonts w:ascii="Times New Roman" w:hAnsi="Times New Roman"/>
          <w:b w:val="0"/>
          <w:color w:val="0070C0"/>
          <w:sz w:val="24"/>
        </w:rPr>
        <w:t>*Chủ yếu mức nhẹ-vừa.* Lo âu nặng + rất nặng chỉ 12,7%, trầm cảm nặng + rất nặng 4,1% — gợi ý can thiệp sớm ở giai đoạn nhẹ-vừa có thể hiệu quả cao.</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đáng kể stress (41,7%), lo âu (49,0%) và trầm cảm (43,6%) ở 482 HS THPT vùng bán đô thị Thanh Hóa, kèm theo 10% đã tự làm đau và 1,4% đã cố tự tử, gợi ý rằng sức khỏe tâm thần thanh thiếu niên không chỉ là vấn đề của đô thị lớn. Nhu cầu thiết lập hệ thống hướng dẫn kỹ năng ứng phó stress và tiếp cận dịch vụ tư vấn tại trường THPT vùng bán đô thị là cấp thiết.</w:t>
      </w:r>
    </w:p>
    <w:p>
      <w:pPr>
        <w:pStyle w:val="Heading2"/>
      </w:pPr>
      <w:r>
        <w:rPr>
          <w:rFonts w:ascii="Times New Roman" w:hAnsi="Times New Roman"/>
          <w:color w:val="FF0000"/>
        </w:rPr>
        <w:t>Phản biện</w:t>
      </w:r>
    </w:p>
    <w:p>
      <w:r>
        <w:rPr>
          <w:rFonts w:ascii="Times New Roman" w:hAnsi="Times New Roman"/>
          <w:b w:val="0"/>
          <w:color w:val="0070C0"/>
          <w:sz w:val="24"/>
        </w:rPr>
        <w:t>Điểm mạnh: vùng bán đô thị Thanh Hóa ít NC, dữ liệu tự hại/tự tử quan trọng, DASS-21 đã xác thực tại VN. Tuy nhiên, chọn mẫu có chủ đích (2 trường) — không ngẫu nhiên, thiên lệch. Chỉ thống kê mô tả, KHÔNG có phân tích yếu tố liên quan (hồi quy) — không biết yếu tố nào ảnh hưởng. Bài chỉ 4 trang —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yếu tố nguy cơ bằng hồi quy đa biến. So sánh giới tính và khối lớp. Nghiên cứu can thiệp giảm hành vi tự hại — ưu tiên cao. Mở rộng nhiều trường Thanh Hóa. Xuất bản trên tạp chí có chỉ mục QT.</w:t>
      </w:r>
    </w:p>
    <w:p/>
    <w:p>
      <w:r>
        <w:rPr>
          <w:rFonts w:ascii="Times New Roman" w:hAnsi="Times New Roman"/>
          <w:b/>
          <w:sz w:val="24"/>
        </w:rPr>
        <w:t>Đánh giá chất lượng: ⭐⭐ Trung bình-Thấp. Vùng bán đô thị ít NC, dữ liệu tự hại quan trọng, nhưng chọn mẫu có chủ đích, chỉ mô tả, bài 4 trang, tạp chí không QT.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