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 Hoa et al. 2024</w:t>
      </w:r>
    </w:p>
    <w:p>
      <w:r>
        <w:rPr>
          <w:rFonts w:ascii="Times New Roman" w:hAnsi="Times New Roman"/>
          <w:b/>
          <w:color w:val="FF0000"/>
          <w:sz w:val="24"/>
        </w:rPr>
        <w:t>Tên công trình, tác giả, năm, mẫu khảo sát, đối tượng, khách thể, địa bàn</w:t>
      </w:r>
    </w:p>
    <w:p>
      <w:r>
        <w:rPr>
          <w:rFonts w:ascii="Times New Roman" w:hAnsi="Times New Roman"/>
          <w:b w:val="0"/>
          <w:color w:val="0070C0"/>
          <w:sz w:val="24"/>
        </w:rPr>
        <w:t>Công trình « Triệu chứng lo âu và chiến lược ứng phó ở học sinh THPT tại Việt Nam sau đại dịch COVID-19 » (Anxiety Symptoms and Coping Strategies among High School Students in Vietnam after COVID-19 Pandemic), do Phạm Thị Thu Hoa, Đỗ Thị Trang, Nguyễn Thị Liên và Ngô Anh Vinh (2024), khảo sát 3.910 học sinh từ 13 trường THPT tại Hà Nội, Việt Nam. Frontiers in Public Health, 12:1232856. DOI: 10.3389/fpubh.2024.1232856.</w:t>
      </w:r>
    </w:p>
    <w:p>
      <w:r>
        <w:rPr>
          <w:rFonts w:ascii="Times New Roman" w:hAnsi="Times New Roman"/>
          <w:b/>
          <w:color w:val="FF0000"/>
          <w:sz w:val="24"/>
        </w:rPr>
        <w:t>Phương pháp nghiên cứu</w:t>
      </w:r>
    </w:p>
    <w:p>
      <w:r>
        <w:rPr>
          <w:rFonts w:ascii="Times New Roman" w:hAnsi="Times New Roman"/>
          <w:b/>
          <w:color w:val="0070C0"/>
          <w:sz w:val="24"/>
        </w:rPr>
        <w:t>Công trình sử dụng Thang đo Rối loạn Lo âu Tổng quát 7 mục (GAD-7 — Generalized Anxiety Disorder 7-item Scale) kết hợp phỏng vấn sâu (in-depth interviews). Nói cách khác, đây là phương pháp hỗn hợp (mixed methods) kết hợp nghiên cứu cắt ngang và phỏng vấn định tính.</w:t>
      </w:r>
    </w:p>
    <w:p>
      <w:r>
        <w:rPr>
          <w:rFonts w:ascii="Times New Roman" w:hAnsi="Times New Roman"/>
          <w:b w:val="0"/>
          <w:color w:val="0070C0"/>
          <w:sz w:val="24"/>
        </w:rPr>
        <w:t>GAD-7 (Spitzer et al., 2006) với Cronbach alpha = 0,916 — độ tin cậy rất cao. Mẫu 3.910 HS từ 13 trường THPT Hà Nội.</w:t>
      </w:r>
    </w:p>
    <w:p>
      <w:r>
        <w:rPr>
          <w:rFonts w:ascii="Times New Roman" w:hAnsi="Times New Roman"/>
          <w:b/>
          <w:color w:val="FF0000"/>
          <w:sz w:val="24"/>
        </w:rPr>
        <w:t>Kết quả nghiên cứu định lượng</w:t>
      </w:r>
    </w:p>
    <w:p>
      <w:r>
        <w:rPr>
          <w:b/>
          <w:sz w:val="22"/>
          <w:rFonts w:ascii="Times New Roman" w:hAnsi="Times New Roman"/>
        </w:rPr>
        <w:t>Bảng 1. Tỷ lệ lo âu GAD-7 HS THPT Hà Nội</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Mức độ lo âu</w:t>
            </w:r>
          </w:p>
        </w:tc>
        <w:tc>
          <w:tcPr>
            <w:tcW w:type="dxa" w:w="4702"/>
            <w:tcW w:w="1701" w:type="dxa"/>
            <w:shd w:fill="D9E2F3" w:val="clear"/>
          </w:tcPr>
          <w:p>
            <w:pPr>
              <w:jc w:val="center"/>
            </w:pPr>
            <w:r>
              <w:rPr>
                <w:rFonts w:ascii="Times New Roman" w:hAnsi="Times New Roman"/>
                <w:b/>
                <w:sz w:val="20"/>
              </w:rPr>
              <w:t>Tỷ lệ</w:t>
            </w:r>
          </w:p>
        </w:tc>
      </w:tr>
      <w:tr>
        <w:tc>
          <w:tcPr>
            <w:tcW w:type="dxa" w:w="4702"/>
            <w:tcW w:w="3402" w:type="dxa"/>
          </w:tcPr>
          <w:p>
            <w:r>
              <w:rPr>
                <w:rFonts w:ascii="Times New Roman" w:hAnsi="Times New Roman"/>
                <w:sz w:val="20"/>
              </w:rPr>
              <w:t>Tổng có lo âu (GAD-7 ≥5)</w:t>
            </w:r>
          </w:p>
        </w:tc>
        <w:tc>
          <w:tcPr>
            <w:tcW w:type="dxa" w:w="4702"/>
            <w:tcW w:w="1701" w:type="dxa"/>
          </w:tcPr>
          <w:p>
            <w:r>
              <w:rPr>
                <w:rFonts w:ascii="Times New Roman" w:hAnsi="Times New Roman"/>
                <w:sz w:val="20"/>
              </w:rPr>
              <w:t>40,6%</w:t>
            </w:r>
          </w:p>
        </w:tc>
      </w:tr>
      <w:tr>
        <w:tc>
          <w:tcPr>
            <w:tcW w:type="dxa" w:w="4702"/>
            <w:tcW w:w="3402" w:type="dxa"/>
          </w:tcPr>
          <w:p>
            <w:r>
              <w:rPr>
                <w:rFonts w:ascii="Times New Roman" w:hAnsi="Times New Roman"/>
                <w:sz w:val="20"/>
              </w:rPr>
              <w:t>Nhẹ (5–9)</w:t>
            </w:r>
          </w:p>
        </w:tc>
        <w:tc>
          <w:tcPr>
            <w:tcW w:type="dxa" w:w="4702"/>
            <w:tcW w:w="1701" w:type="dxa"/>
          </w:tcPr>
          <w:p>
            <w:r>
              <w:rPr>
                <w:rFonts w:ascii="Times New Roman" w:hAnsi="Times New Roman"/>
                <w:sz w:val="20"/>
              </w:rPr>
              <w:t>23,9%</w:t>
            </w:r>
          </w:p>
        </w:tc>
      </w:tr>
      <w:tr>
        <w:tc>
          <w:tcPr>
            <w:tcW w:type="dxa" w:w="4702"/>
            <w:tcW w:w="3402" w:type="dxa"/>
          </w:tcPr>
          <w:p>
            <w:r>
              <w:rPr>
                <w:rFonts w:ascii="Times New Roman" w:hAnsi="Times New Roman"/>
                <w:sz w:val="20"/>
              </w:rPr>
              <w:t>Trung bình (10–14)</w:t>
            </w:r>
          </w:p>
        </w:tc>
        <w:tc>
          <w:tcPr>
            <w:tcW w:type="dxa" w:w="4702"/>
            <w:tcW w:w="1701" w:type="dxa"/>
          </w:tcPr>
          <w:p>
            <w:r>
              <w:rPr>
                <w:rFonts w:ascii="Times New Roman" w:hAnsi="Times New Roman"/>
                <w:sz w:val="20"/>
              </w:rPr>
              <w:t>10,9%</w:t>
            </w:r>
          </w:p>
        </w:tc>
      </w:tr>
      <w:tr>
        <w:tc>
          <w:tcPr>
            <w:tcW w:type="dxa" w:w="4702"/>
            <w:tcW w:w="3402" w:type="dxa"/>
          </w:tcPr>
          <w:p>
            <w:r>
              <w:rPr>
                <w:rFonts w:ascii="Times New Roman" w:hAnsi="Times New Roman"/>
                <w:sz w:val="20"/>
              </w:rPr>
              <w:t>Nặng (15–21)</w:t>
            </w:r>
          </w:p>
        </w:tc>
        <w:tc>
          <w:tcPr>
            <w:tcW w:type="dxa" w:w="4702"/>
            <w:tcW w:w="1701" w:type="dxa"/>
          </w:tcPr>
          <w:p>
            <w:r>
              <w:rPr>
                <w:rFonts w:ascii="Times New Roman" w:hAnsi="Times New Roman"/>
                <w:sz w:val="20"/>
              </w:rPr>
              <w:t>5,8%</w:t>
            </w:r>
          </w:p>
        </w:tc>
      </w:tr>
    </w:tbl>
    <w:p/>
    <w:p>
      <w:r>
        <w:rPr>
          <w:b/>
          <w:sz w:val="22"/>
          <w:rFonts w:ascii="Times New Roman" w:hAnsi="Times New Roman"/>
        </w:rPr>
        <w:t>Bảng 2. Khác biệt giới tính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Nam</w:t>
            </w:r>
          </w:p>
        </w:tc>
        <w:tc>
          <w:tcPr>
            <w:tcW w:type="dxa" w:w="2351"/>
            <w:tcW w:w="1417" w:type="dxa"/>
            <w:shd w:fill="D9E2F3" w:val="clear"/>
          </w:tcPr>
          <w:p>
            <w:pPr>
              <w:jc w:val="center"/>
            </w:pPr>
            <w:r>
              <w:rPr>
                <w:rFonts w:ascii="Times New Roman" w:hAnsi="Times New Roman"/>
                <w:b/>
                <w:sz w:val="20"/>
              </w:rPr>
              <w:t>Nữ</w:t>
            </w:r>
          </w:p>
        </w:tc>
        <w:tc>
          <w:tcPr>
            <w:tcW w:type="dxa" w:w="2351"/>
            <w:tcW w:w="1417" w:type="dxa"/>
            <w:shd w:fill="D9E2F3" w:val="clear"/>
          </w:tcPr>
          <w:p>
            <w:pPr>
              <w:jc w:val="center"/>
            </w:pPr>
            <w:r>
              <w:rPr>
                <w:rFonts w:ascii="Times New Roman" w:hAnsi="Times New Roman"/>
                <w:b/>
                <w:sz w:val="20"/>
              </w:rPr>
              <w:t>P</w:t>
            </w:r>
          </w:p>
        </w:tc>
      </w:tr>
      <w:tr>
        <w:tc>
          <w:tcPr>
            <w:tcW w:type="dxa" w:w="2351"/>
            <w:tcW w:w="2268" w:type="dxa"/>
          </w:tcPr>
          <w:p>
            <w:r>
              <w:rPr>
                <w:rFonts w:ascii="Times New Roman" w:hAnsi="Times New Roman"/>
                <w:sz w:val="20"/>
              </w:rPr>
              <w:t>Điểm GAD-7 trung bình</w:t>
            </w:r>
          </w:p>
        </w:tc>
        <w:tc>
          <w:tcPr>
            <w:tcW w:type="dxa" w:w="2351"/>
            <w:tcW w:w="1417" w:type="dxa"/>
          </w:tcPr>
          <w:p>
            <w:r>
              <w:rPr>
                <w:rFonts w:ascii="Times New Roman" w:hAnsi="Times New Roman"/>
                <w:sz w:val="20"/>
              </w:rPr>
              <w:t>1,50</w:t>
            </w:r>
          </w:p>
        </w:tc>
        <w:tc>
          <w:tcPr>
            <w:tcW w:type="dxa" w:w="2351"/>
            <w:tcW w:w="1417" w:type="dxa"/>
          </w:tcPr>
          <w:p>
            <w:r>
              <w:rPr>
                <w:rFonts w:ascii="Times New Roman" w:hAnsi="Times New Roman"/>
                <w:sz w:val="20"/>
              </w:rPr>
              <w:t>1,74</w:t>
            </w:r>
          </w:p>
        </w:tc>
        <w:tc>
          <w:tcPr>
            <w:tcW w:type="dxa" w:w="2351"/>
            <w:tcW w:w="1417" w:type="dxa"/>
          </w:tcPr>
          <w:p>
            <w:r>
              <w:rPr>
                <w:rFonts w:ascii="Times New Roman" w:hAnsi="Times New Roman"/>
                <w:sz w:val="20"/>
              </w:rPr>
              <w:t>&lt;0,01</w:t>
            </w:r>
          </w:p>
        </w:tc>
      </w:tr>
      <w:tr>
        <w:tc>
          <w:tcPr>
            <w:tcW w:type="dxa" w:w="2351"/>
            <w:tcW w:w="2268" w:type="dxa"/>
          </w:tcPr>
          <w:p>
            <w:r>
              <w:rPr>
                <w:rFonts w:ascii="Times New Roman" w:hAnsi="Times New Roman"/>
                <w:sz w:val="20"/>
              </w:rPr>
              <w:t>Hướng</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Cao hơn</w:t>
            </w:r>
          </w:p>
        </w:tc>
        <w:tc>
          <w:tcPr>
            <w:tcW w:type="dxa" w:w="2351"/>
            <w:tcW w:w="1417" w:type="dxa"/>
          </w:tcPr>
          <w:p>
            <w:r>
              <w:rPr>
                <w:rFonts w:ascii="Times New Roman" w:hAnsi="Times New Roman"/>
                <w:sz w:val="20"/>
              </w:rPr>
              <w:t>Nữ &gt; Nam</w:t>
            </w:r>
          </w:p>
        </w:tc>
      </w:tr>
    </w:tbl>
    <w:p/>
    <w:p>
      <w:pPr>
        <w:pStyle w:val="Heading3"/>
      </w:pPr>
      <w:r>
        <w:rPr>
          <w:rFonts w:ascii="Times New Roman" w:hAnsi="Times New Roman"/>
          <w:color w:val="0070C0"/>
        </w:rPr>
        <w:t>Khác biệt giới tính : Nữ có điểm GAD-7 trung bình cao hơn nam (1,74 vs 1,50, P &lt; 0,01) — phù hợp xu hướng quốc tế.</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 Tỷ lệ 40,6% là mức cao — nhưng cần lưu ý đây là sàng lọc (GAD-7 ≥5), không phải chẩn đoán. So với V-NAMHS 2022 (chẩn đoán DISC-5: chỉ 2,3%), chênh lệch 17 lần.</w:t>
      </w:r>
    </w:p>
    <w:p>
      <w:r>
        <w:rPr>
          <w:rFonts w:ascii="Times New Roman" w:hAnsi="Times New Roman"/>
          <w:b w:val="0"/>
          <w:color w:val="0070C0"/>
          <w:sz w:val="24"/>
        </w:rPr>
        <w:t>• Phỏng vấn sâu phát hiện 4 nguồn lo âu: áp lực học tập, quan hệ xã hội, định kiến xã hội, kỳ vọng gia đình — tương tự Jenkins 2023 (COVID, phân biệt đối xử) và Wen 2020 (áp lực học tập OR=11,6).</w:t>
      </w:r>
    </w:p>
    <w:p>
      <w:r>
        <w:rPr>
          <w:rFonts w:ascii="Times New Roman" w:hAnsi="Times New Roman"/>
          <w:b/>
          <w:color w:val="FF0000"/>
          <w:sz w:val="24"/>
        </w:rPr>
        <w:t>Kết luận</w:t>
      </w:r>
    </w:p>
    <w:p>
      <w:r>
        <w:rPr>
          <w:rFonts w:ascii="Times New Roman" w:hAnsi="Times New Roman"/>
          <w:b/>
          <w:color w:val="0070C0"/>
          <w:sz w:val="24"/>
        </w:rPr>
        <w:t>Lo âu 40,6% ở 3.910 HS THPT Hà Nội sau COVID-19. Nữ &gt; nam (P&lt;0,01). Cần can thiệp nhắm vào áp lực học tập và kỳ vọng gia đình — hai nguồn lo âu phổ biến nhất theo phỏng vấn định tính.</w:t>
      </w:r>
    </w:p>
    <w:p>
      <w:pPr>
        <w:pStyle w:val="Heading2"/>
      </w:pPr>
      <w:r>
        <w:rPr>
          <w:rFonts w:ascii="Times New Roman" w:hAnsi="Times New Roman"/>
          <w:color w:val="FF0000"/>
        </w:rPr>
        <w:t>Phản biện</w:t>
      </w:r>
    </w:p>
    <w:p>
      <w:r>
        <w:rPr>
          <w:rFonts w:ascii="Times New Roman" w:hAnsi="Times New Roman"/>
          <w:b w:val="0"/>
          <w:color w:val="0070C0"/>
          <w:sz w:val="24"/>
        </w:rPr>
        <w:t>Frontiers in Public Health (Q1, PubMed). Phương pháp hỗn hợp sáng tạo, GAD-7 alpha=0,916. Tuy nhiên, chỉ Hà Nội (đô thị) — không đại diện nông thôn/DTTS. Thiết kế cắt ngang. Phỏng vấn sâu không nêu rõ số lượng và cách chọn mẫu định tính.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ra nông thôn và vùng DTTS. So sánh GAD-7 với DISC-5 trên cùng mẫu để ước tính khoảng cách sàng lọc–chẩn đoán. Nghiên cứu dọc theo dõi lo âu hậu COVID.</w:t>
      </w:r>
    </w:p>
    <w:p>
      <w:r>
        <w:rPr>
          <w:rFonts w:ascii="Times New Roman" w:hAnsi="Times New Roman"/>
          <w:b/>
          <w:sz w:val="24"/>
        </w:rPr>
        <w:t>Đánh giá: ⭐⭐⭐⭐ Cao. Q1, n=3.910, GAD-7 alpha=0,916, phương pháp hỗn hợp.</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