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VN-20</w:t>
      </w:r>
    </w:p>
    <w:p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r>
        <w:rPr>
          <w:rFonts w:ascii="Times New Roman" w:hAnsi="Times New Roman"/>
          <w:b w:val="0"/>
          <w:i w:val="0"/>
          <w:sz w:val="24"/>
        </w:rPr>
        <w:t>Công trình « Trầm cảm, lo âu, căng thẳng và các yếu tố liên quan ở học sinh THPT tại Thành phố Hồ Chí Minh » (Depression, Anxiety, Stress and Associated Factors among High School Students in Ho Chi Minh City), do Trần Hồ Vĩnh Lộc, Huỳnh Ngọc Vân Anh, Tô Gia Kiên (2024), Khoa Y tế Công cộng, ĐH Y Dược TPHCM, khảo sát 976 HS THPT tại 2 trường TPHCM, năm 2023. Tạp chí Y học TPHCM, Tập 27, Số 5, 2024, tr. 100–110. DOI: 10.32895/hcjm.m.2024.05.12.</w:t>
      </w:r>
    </w:p>
    <w:p>
      <w:r>
        <w:rPr>
          <w:rFonts w:ascii="Times New Roman" w:hAnsi="Times New Roman"/>
          <w:b/>
          <w:i w:val="0"/>
          <w:sz w:val="24"/>
        </w:rPr>
        <w:t>Phương pháp nghiên cứu</w:t>
      </w:r>
    </w:p>
    <w:p>
      <w:r>
        <w:rPr>
          <w:rFonts w:ascii="Times New Roman" w:hAnsi="Times New Roman"/>
          <w:b w:val="0"/>
          <w:i w:val="0"/>
          <w:sz w:val="24"/>
        </w:rPr>
        <w:t>Công trình sử dụng DASS-Y (Depression Anxiety Stress Scales for Youth) — phiên bản DÀNH RIÊNG cho thanh thiếu niên (KHÔNG phải DASS-21 người lớn), kết hợp Thang Áp lực Học tập dành cho Thanh thiếu niên (ESSA — Educational Stress Scale for Adolescents; α = 0,81). Nói cách khác, đây là một trong số ít NC VN sử dụng công cụ đo SKTT được thiết kế riêng cho VTN với ngưỡng cắt phù hợp lứa tuổi.</w:t>
      </w:r>
    </w:p>
    <w:p>
      <w:r>
        <w:rPr>
          <w:rFonts w:ascii="Times New Roman" w:hAnsi="Times New Roman"/>
          <w:b w:val="0"/>
          <w:i w:val="0"/>
          <w:sz w:val="24"/>
        </w:rPr>
        <w:t>DASS-Y (Szabó, 2010): phiên bản VTN của DASS-21, ngưỡng cắt khác (lo âu ≥6, trầm cảm ≥7, stress ≥12 — thấp hơn DASS-21 người lớn). ESSA (Sun et al., 2011): 16 mục, 5 tiểu thang, đo áp lực học tập.</w:t>
      </w:r>
    </w:p>
    <w:p>
      <w:r>
        <w:rPr>
          <w:rFonts w:ascii="Times New Roman" w:hAnsi="Times New Roman"/>
          <w:b w:val="0"/>
          <w:i w:val="0"/>
          <w:sz w:val="24"/>
        </w:rPr>
        <w:t>Tổng quan cho thấy đa số NC VN dùng DASS-21 người lớn cho VTN — ngưỡng cắt có thể không phù hợp. DASS-Y giải quyết vấn đề này.</w:t>
      </w:r>
    </w:p>
    <w:p>
      <w:r>
        <w:rPr>
          <w:rFonts w:ascii="Times New Roman" w:hAnsi="Times New Roman"/>
          <w:b w:val="0"/>
          <w:i w:val="0"/>
          <w:sz w:val="24"/>
        </w:rPr>
        <w:t>N = 976 HS THPT tại 2 trường TPHCM. Lấy mẫu ngẫu nhiên nhiều bậc (bậc trường ngẫu nhiên, bậc lớp thuận tiện 4 lớp/khối). Pilot test 34 HS.</w:t>
      </w:r>
    </w:p>
    <w:p>
      <w:r>
        <w:rPr>
          <w:rFonts w:ascii="Times New Roman" w:hAnsi="Times New Roman"/>
          <w:b w:val="0"/>
          <w:i w:val="0"/>
          <w:sz w:val="24"/>
        </w:rPr>
        <w:t>Hồi quy logistic đa biến. Phân tích yếu tố liên quan.</w:t>
      </w:r>
    </w:p>
    <w:p>
      <w:r>
        <w:rPr>
          <w:rFonts w:ascii="Times New Roman" w:hAnsi="Times New Roman"/>
          <w:b/>
          <w:i w:val="0"/>
          <w:sz w:val="24"/>
        </w:rPr>
        <w:t>Kết quả nghiên cứu định lượng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1. Kết quả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Tình trạng</w:t>
            </w:r>
          </w:p>
        </w:tc>
        <w:tc>
          <w:tcPr>
            <w:tcW w:type="dxa" w:w="3135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</w:t>
            </w:r>
          </w:p>
        </w:tc>
        <w:tc>
          <w:tcPr>
            <w:tcW w:type="dxa" w:w="3135"/>
            <w:tcW w:w="3402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Trầm cảm (DASS-Y ≥7)</w:t>
            </w:r>
          </w:p>
        </w:tc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31,7%</w:t>
            </w:r>
          </w:p>
        </w:tc>
        <w:tc>
          <w:tcPr>
            <w:tcW w:type="dxa" w:w="3135"/>
            <w:tcW w:w="3402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Lo âu (DASS-Y ≥6)</w:t>
            </w:r>
          </w:p>
        </w:tc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25,1%</w:t>
            </w:r>
          </w:p>
        </w:tc>
        <w:tc>
          <w:tcPr>
            <w:tcW w:type="dxa" w:w="3135"/>
            <w:tcW w:w="3402" w:type="dxa"/>
          </w:tcPr>
          <w:p>
            <w:r>
              <w:rPr>
                <w:rFonts w:ascii="Times New Roman" w:hAnsi="Times New Roman"/>
                <w:sz w:val="20"/>
              </w:rPr>
              <w:t>Thấp hơn đáng kể so với DASS-21 (40–86%)</w:t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Căng thẳng (DASS-Y ≥12)</w:t>
            </w:r>
          </w:p>
        </w:tc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23,8%</w:t>
            </w:r>
          </w:p>
        </w:tc>
        <w:tc>
          <w:tcPr>
            <w:tcW w:type="dxa" w:w="3135"/>
            <w:tcW w:w="3402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Có ≥1 vấn đề SKTT</w:t>
            </w:r>
          </w:p>
        </w:tc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42,4%</w:t>
            </w:r>
          </w:p>
        </w:tc>
        <w:tc>
          <w:tcPr>
            <w:tcW w:type="dxa" w:w="3135"/>
            <w:tcW w:w="3402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000000"/>
        </w:rPr>
        <w:t>Bảng 2. Yếu tố liên quan (hồi quy đa biến)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</w:t>
            </w:r>
          </w:p>
        </w:tc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Liên quan với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Hướng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Giới tính nữ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Trầm cảm + Lo âu + Căng thẳng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Nữ &gt; Nam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&lt;0,05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Áp lực học tập nặng (ESSA ≥59)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Cả 3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Tăng nguy cơ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&lt;0,05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Cha mẹ ly hôn/ly thân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Tăng nguy cơ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&lt;0,05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Kinh tế khó khăn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Trầm cảm + Căng thẳng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Tăng nguy cơ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&lt;0,05</w:t>
            </w:r>
          </w:p>
        </w:tc>
      </w:tr>
      <w:tr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Học vấn mẹ thấp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Căng thẳng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Tăng nguy cơ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&lt;0,05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Đối chiếu liên bài</w:t>
      </w:r>
    </w:p>
    <w:p>
      <w:r>
        <w:rPr>
          <w:rFonts w:ascii="Times New Roman" w:hAnsi="Times New Roman"/>
          <w:b w:val="0"/>
          <w:i w:val="0"/>
          <w:sz w:val="24"/>
        </w:rPr>
        <w:t>Lo âu 25,1% (DASS-Y) vs: Hoa 2024 (40,6% GAD-7), Bảo Quyên 2025 (86,2% DASS-21), Thảo Vi 2025 (65,8% DASS-21), An Giang 2025 (61,2% DASS-21). Tỷ lệ THẤP HƠN do DASS-Y có ngưỡng riêng cho VTN. Câu hỏi: DASS-Y hay DASS-21 chính xác hơn? Cần so sánh trên cùng mẫu.</w:t>
      </w:r>
    </w:p>
    <w:p>
      <w:r>
        <w:rPr>
          <w:rFonts w:ascii="Times New Roman" w:hAnsi="Times New Roman"/>
          <w:b/>
          <w:i w:val="0"/>
          <w:sz w:val="24"/>
        </w:rPr>
        <w:t>Nhận xét, phát hiện qua kết quả nghiên cứu</w:t>
      </w:r>
    </w:p>
    <w:p>
      <w:r>
        <w:rPr>
          <w:rFonts w:ascii="Times New Roman" w:hAnsi="Times New Roman"/>
          <w:b w:val="0"/>
          <w:i w:val="0"/>
          <w:sz w:val="24"/>
        </w:rPr>
        <w:t>*DASS-Y cho tỷ lệ thấp hơn đáng kể:* Lo âu 25,1% (DASS-Y) vs 40–86% (DASS-21 ở NC khác). Gợi ý: tỷ lệ cao ở NC dùng DASS-21 có thể do ÁP DỤNG NGƯỠNG NGƯỜI LỚN cho VTN.</w:t>
      </w:r>
    </w:p>
    <w:p>
      <w:r>
        <w:rPr>
          <w:rFonts w:ascii="Times New Roman" w:hAnsi="Times New Roman"/>
          <w:b w:val="0"/>
          <w:i w:val="0"/>
          <w:sz w:val="24"/>
        </w:rPr>
        <w:t>*Áp lực học tập (ESSA) — yếu tố mạnh nhất:* ESSA ≥59 tăng nguy cơ cả 3 chỉ số. Phù hợp Wen 2020 (áp lực OR = 11,6), Norway 2025 (bất mãn trường giải thích chính).</w:t>
      </w:r>
    </w:p>
    <w:p>
      <w:r>
        <w:rPr>
          <w:rFonts w:ascii="Times New Roman" w:hAnsi="Times New Roman"/>
          <w:b w:val="0"/>
          <w:i w:val="0"/>
          <w:sz w:val="24"/>
        </w:rPr>
        <w:t>*Cấu trúc gia đình:* Cha mẹ ly hôn/ly thân tăng nguy cơ trầm cảm. Kinh tế khó khăn tăng trầm cảm + căng thẳng.</w:t>
      </w:r>
    </w:p>
    <w:p>
      <w:r>
        <w:rPr>
          <w:rFonts w:ascii="Times New Roman" w:hAnsi="Times New Roman"/>
          <w:b w:val="0"/>
          <w:i w:val="0"/>
          <w:sz w:val="24"/>
        </w:rPr>
        <w:t>*Giới tính:* Nữ &gt; nam ở cả 3 chỉ số (p &lt; 0,05) — phù hợp xu hướng toàn cầu.</w:t>
      </w:r>
    </w:p>
    <w:p>
      <w:r>
        <w:rPr>
          <w:rFonts w:ascii="Times New Roman" w:hAnsi="Times New Roman"/>
          <w:b/>
          <w:i w:val="0"/>
          <w:sz w:val="24"/>
        </w:rPr>
        <w:t>Kết luận</w:t>
      </w:r>
    </w:p>
    <w:p>
      <w:r>
        <w:rPr>
          <w:rFonts w:ascii="Times New Roman" w:hAnsi="Times New Roman"/>
          <w:b w:val="0"/>
          <w:i w:val="0"/>
          <w:sz w:val="24"/>
        </w:rPr>
        <w:t>Dữ liệu 976 HS THPT TPHCM sử dụng DASS-Y (phiên bản VTN), cho thấy lo âu 25,1% — thấp hơn đáng kể so với DASS-21 (40–86%), gợi ý rằng lựa chọn công cụ đo ảnh hưởng lớn đến tỷ lệ. Áp lực học tập và cấu trúc gia đình là yếu tố mạnh nhất — cần can thiệp nhắm vào hai nhóm này.</w:t>
      </w:r>
    </w:p>
    <w:p>
      <w:r>
        <w:rPr>
          <w:rFonts w:ascii="Times New Roman" w:hAnsi="Times New Roman"/>
          <w:b/>
          <w:color w:val="FF0000"/>
          <w:sz w:val="26"/>
        </w:rPr>
        <w:t>Phản biện</w:t>
      </w:r>
    </w:p>
    <w:p>
      <w:r>
        <w:rPr>
          <w:rFonts w:ascii="Times New Roman" w:hAnsi="Times New Roman"/>
          <w:b w:val="0"/>
          <w:color w:val="FF0000"/>
          <w:sz w:val="24"/>
        </w:rPr>
        <w:t>ĐH Y Dược TPHCM — uy tín. DASS-Y (VTN riêng) — đóng góp phương pháp luận. ESSA chuẩn hóa. n = 976 — lớn nhất TPHCM. Tuy nhiên: chỉ 2 trường (không đại diện), chọn lớp thuận tiện, DASS-Y chưa phổ biến quốc tế, thiếu biến MXH/giấc ngủ, TC Y học TPHCM không PubMed.</w:t>
      </w:r>
    </w:p>
    <w:p>
      <w:r>
        <w:rPr>
          <w:rFonts w:ascii="Times New Roman" w:hAnsi="Times New Roman"/>
          <w:b/>
          <w:color w:val="FF0000"/>
          <w:sz w:val="26"/>
        </w:rPr>
        <w:t>Hướng nghiên cứu tiếp theo</w:t>
      </w:r>
    </w:p>
    <w:p>
      <w:r>
        <w:rPr>
          <w:rFonts w:ascii="Times New Roman" w:hAnsi="Times New Roman"/>
          <w:b w:val="0"/>
          <w:color w:val="FF0000"/>
          <w:sz w:val="24"/>
        </w:rPr>
        <w:t>So sánh DASS-Y vs DASS-21 vs GAD-7 trên cùng mẫu VTN. Thêm biến MXH, giấc ngủ. Mở rộng nhiều trường TPHCM. Can thiệp giảm áp lực học tập + hỗ trợ gia đình.</w:t>
      </w:r>
    </w:p>
    <w:p>
      <w:r>
        <w:rPr>
          <w:rFonts w:ascii="Times New Roman" w:hAnsi="Times New Roman"/>
          <w:b/>
          <w:i w:val="0"/>
          <w:sz w:val="24"/>
        </w:rPr>
        <w:t>Đánh giá: ⭐⭐⭐ Trung bình–Khá. TC VN (DOI), DASS-Y mới, n = 976, nhưng 2 trường, thiếu biến.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