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VN-3: Pham et al. 2024</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nghiên cứu về mối quan hệ giữa chăm sóc xã hội và sức khỏe tâm thần ở thanh thiếu niên tại các cơ sở hỗ trợ xã hội tại Huế, Việt Nam, do Pham và cộng sự (2024), khảo sát trên 273+273 thanh thiếu niên (nhóm can thiệp và nhóm đối chứng) tại các cơ sở hỗ trợ xã hội.</w:t>
      </w:r>
    </w:p>
    <w:p>
      <w:r>
        <w:rPr>
          <w:rFonts w:ascii="Times New Roman" w:hAnsi="Times New Roman"/>
          <w:b/>
          <w:color w:val="FF0000"/>
          <w:sz w:val="24"/>
        </w:rPr>
        <w:t>Phương pháp nghiên cứu</w:t>
      </w:r>
    </w:p>
    <w:p>
      <w:r>
        <w:rPr>
          <w:rFonts w:ascii="Times New Roman" w:hAnsi="Times New Roman"/>
          <w:b/>
          <w:color w:val="0070C0"/>
          <w:sz w:val="24"/>
        </w:rPr>
        <w:t>Nghiên cứu đánh giá tác động của chăm sóc cảm xúc (emotional care) và chăm sóc thể chất (physical care) đến sức khỏe tâm thần thanh thiếu niên. Nói cách khác, nghiên cứu phân tách hai loại chăm sóc để xác định loại nào có tác động thực sự.</w:t>
      </w:r>
    </w:p>
    <w:p>
      <w:r>
        <w:rPr>
          <w:rFonts w:ascii="Times New Roman" w:hAnsi="Times New Roman"/>
          <w:b/>
          <w:color w:val="FF000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Loại chăm sóc</w:t>
            </w:r>
          </w:p>
        </w:tc>
        <w:tc>
          <w:tcPr>
            <w:tcW w:type="dxa" w:w="2351"/>
            <w:tcW w:w="1417" w:type="dxa"/>
            <w:shd w:fill="D9E2F3" w:val="clear"/>
          </w:tcPr>
          <w:p>
            <w:pPr>
              <w:jc w:val="center"/>
            </w:pPr>
            <w:r>
              <w:rPr>
                <w:rFonts w:ascii="Times New Roman" w:hAnsi="Times New Roman"/>
                <w:b/>
                <w:sz w:val="20"/>
              </w:rPr>
              <w:t>Beta (lo âu)</w:t>
            </w:r>
          </w:p>
        </w:tc>
        <w:tc>
          <w:tcPr>
            <w:tcW w:type="dxa" w:w="2351"/>
            <w:tcW w:w="1134" w:type="dxa"/>
            <w:shd w:fill="D9E2F3" w:val="clear"/>
          </w:tcPr>
          <w:p>
            <w:pPr>
              <w:jc w:val="center"/>
            </w:pPr>
            <w:r>
              <w:rPr>
                <w:rFonts w:ascii="Times New Roman" w:hAnsi="Times New Roman"/>
                <w:b/>
                <w:sz w:val="20"/>
              </w:rPr>
              <w:t>P</w:t>
            </w:r>
          </w:p>
        </w:tc>
        <w:tc>
          <w:tcPr>
            <w:tcW w:type="dxa" w:w="2351"/>
            <w:tcW w:w="2268"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Chăm sóc cảm xúc</w:t>
            </w:r>
          </w:p>
        </w:tc>
        <w:tc>
          <w:tcPr>
            <w:tcW w:type="dxa" w:w="2351"/>
            <w:tcW w:w="1417" w:type="dxa"/>
          </w:tcPr>
          <w:p>
            <w:r>
              <w:rPr>
                <w:rFonts w:ascii="Times New Roman" w:hAnsi="Times New Roman"/>
                <w:sz w:val="20"/>
              </w:rPr>
              <w:t>–0,40</w:t>
            </w:r>
          </w:p>
        </w:tc>
        <w:tc>
          <w:tcPr>
            <w:tcW w:type="dxa" w:w="2351"/>
            <w:tcW w:w="1134" w:type="dxa"/>
          </w:tcPr>
          <w:p>
            <w:r>
              <w:rPr>
                <w:rFonts w:ascii="Times New Roman" w:hAnsi="Times New Roman"/>
                <w:sz w:val="20"/>
              </w:rPr>
              <w:t>&lt;0,001</w:t>
            </w:r>
          </w:p>
        </w:tc>
        <w:tc>
          <w:tcPr>
            <w:tcW w:type="dxa" w:w="2351"/>
            <w:tcW w:w="2268" w:type="dxa"/>
          </w:tcPr>
          <w:p>
            <w:r>
              <w:rPr>
                <w:rFonts w:ascii="Times New Roman" w:hAnsi="Times New Roman"/>
                <w:sz w:val="20"/>
              </w:rPr>
              <w:t>Giảm lo âu mạnh — YẾU TỐ BẢO VỆ</w:t>
            </w:r>
          </w:p>
        </w:tc>
      </w:tr>
      <w:tr>
        <w:tc>
          <w:tcPr>
            <w:tcW w:type="dxa" w:w="2351"/>
            <w:tcW w:w="2268" w:type="dxa"/>
          </w:tcPr>
          <w:p>
            <w:r>
              <w:rPr>
                <w:rFonts w:ascii="Times New Roman" w:hAnsi="Times New Roman"/>
                <w:sz w:val="20"/>
              </w:rPr>
              <w:t>Chăm sóc thể chất</w:t>
            </w:r>
          </w:p>
        </w:tc>
        <w:tc>
          <w:tcPr>
            <w:tcW w:type="dxa" w:w="2351"/>
            <w:tcW w:w="1417" w:type="dxa"/>
          </w:tcPr>
          <w:p>
            <w:r>
              <w:rPr>
                <w:rFonts w:ascii="Times New Roman" w:hAnsi="Times New Roman"/>
                <w:sz w:val="20"/>
              </w:rPr>
              <w:t>Không có ý nghĩa</w:t>
            </w:r>
          </w:p>
        </w:tc>
        <w:tc>
          <w:tcPr>
            <w:tcW w:type="dxa" w:w="2351"/>
            <w:tcW w:w="1134" w:type="dxa"/>
          </w:tcPr>
          <w:p>
            <w:r>
              <w:rPr>
                <w:rFonts w:ascii="Times New Roman" w:hAnsi="Times New Roman"/>
                <w:sz w:val="20"/>
              </w:rPr>
              <w:t>&gt;0,05</w:t>
            </w:r>
          </w:p>
        </w:tc>
        <w:tc>
          <w:tcPr>
            <w:tcW w:type="dxa" w:w="2351"/>
            <w:tcW w:w="2268" w:type="dxa"/>
          </w:tcPr>
          <w:p>
            <w:r>
              <w:rPr>
                <w:rFonts w:ascii="Times New Roman" w:hAnsi="Times New Roman"/>
                <w:sz w:val="20"/>
              </w:rPr>
              <w:t>KHÔNG tác động</w:t>
            </w:r>
          </w:p>
        </w:tc>
      </w:tr>
    </w:tbl>
    <w:p/>
    <w:p>
      <w:pPr>
        <w:pStyle w:val="Heading3"/>
      </w:pPr>
      <w:r>
        <w:rPr>
          <w:rFonts w:ascii="Times New Roman" w:hAnsi="Times New Roman"/>
          <w:color w:val="0070C0"/>
        </w:rPr>
        <w:t>Phát hiện quan trọng nhất : Chăm sóc CẢM XÚC (beta = –0,40, P &lt; 0,001) giảm lo âu mạnh, trong khi chăm sóc THỂ CHẤT không có tác động có ý nghĩa. Điều này gợi ý can thiệp nên tập trung vào hỗ trợ cảm xúc (lắng nghe, chia sẻ, đồng cảm) hơn là chỉ đáp ứng nhu cầu vật chất.</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Phát hiện chăm sóc cảm xúc (beta = –0,40) tương tự Qiu et al. 2022: nuôi dạy tích cực giảm 70% nguy cơ trầm cảm (OR = 0,30) và 68% lo âu (OR = 0,32). Cả hai đều nhấn mạnh yếu tố gia đình/chăm sóc cảm xúc.</w:t>
      </w:r>
    </w:p>
    <w:p>
      <w:r>
        <w:rPr>
          <w:rFonts w:ascii="Times New Roman" w:hAnsi="Times New Roman"/>
          <w:b w:val="0"/>
          <w:color w:val="0070C0"/>
          <w:sz w:val="24"/>
        </w:rPr>
        <w:t>• Phát hiện chăm sóc thể chất không có ý nghĩa là bất ngờ — thách thức quan niệm "cung cấp vật chất đầy đủ = sức khỏe tâm thần tốt".</w:t>
      </w:r>
    </w:p>
    <w:p>
      <w:r>
        <w:rPr>
          <w:rFonts w:ascii="Times New Roman" w:hAnsi="Times New Roman"/>
          <w:b/>
          <w:color w:val="FF0000"/>
          <w:sz w:val="24"/>
        </w:rPr>
        <w:t>Kết luận</w:t>
      </w:r>
    </w:p>
    <w:p>
      <w:r>
        <w:rPr>
          <w:rFonts w:ascii="Times New Roman" w:hAnsi="Times New Roman"/>
          <w:b/>
          <w:color w:val="0070C0"/>
          <w:sz w:val="24"/>
        </w:rPr>
        <w:t>Chăm sóc cảm xúc (beta = –0,40) là yếu tố bảo vệ mạnh cho SKTT thanh thiếu niên, trong khi chăm sóc thể chất không có tác động. Can thiệp nên tập trung đào tạo kỹ năng chăm sóc cảm xúc cho người chăm sóc tại cơ sở hỗ trợ xã hội.</w:t>
      </w:r>
    </w:p>
    <w:p>
      <w:pPr>
        <w:pStyle w:val="Heading2"/>
      </w:pPr>
      <w:r>
        <w:rPr>
          <w:rFonts w:ascii="Times New Roman" w:hAnsi="Times New Roman"/>
          <w:color w:val="FF0000"/>
        </w:rPr>
        <w:t>Phản biện</w:t>
      </w:r>
    </w:p>
    <w:p>
      <w:r>
        <w:rPr>
          <w:rFonts w:ascii="Times New Roman" w:hAnsi="Times New Roman"/>
          <w:b w:val="0"/>
          <w:color w:val="0070C0"/>
          <w:sz w:val="24"/>
        </w:rPr>
        <w:t>Phân tách rõ ràng chăm sóc cảm xúc vs thể chất — ít NC nào làm. Tuy nhiên, cỡ mẫu nhỏ (273+273), chỉ tại Huế, đối tượng đặc thù (cơ sở hỗ trợ xã hội, không phải trường học phổ thông). Thiết kế cắt ngang.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sang trường học phổ thông. Nghiên cứu can thiệp đào tạo chăm sóc cảm xúc cho phụ huynh/giáo viên. Đánh giá dọc tác động dài hạn.</w:t>
      </w:r>
    </w:p>
    <w:p>
      <w:r>
        <w:rPr>
          <w:rFonts w:ascii="Times New Roman" w:hAnsi="Times New Roman"/>
          <w:b/>
          <w:sz w:val="24"/>
        </w:rPr>
        <w:t>Đánh giá: ⭐⭐⭐ Trung bình-Khá. Phân tách cảm xúc/thể chất sáng tạo nhưng cỡ mẫu nhỏ và đối tượng đặc thù.</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Yếu tố</w:t>
            </w:r>
          </w:p>
        </w:tc>
        <w:tc>
          <w:tcPr>
            <w:tcW w:type="dxa" w:w="3135"/>
            <w:shd w:fill="D9E2F3" w:val="clear"/>
          </w:tcPr>
          <w:p>
            <w:r>
              <w:rPr>
                <w:rFonts w:ascii="Times New Roman" w:hAnsi="Times New Roman"/>
                <w:b/>
                <w:sz w:val="20"/>
              </w:rPr>
              <w:t>Liên quan</w:t>
            </w:r>
          </w:p>
        </w:tc>
        <w:tc>
          <w:tcPr>
            <w:tcW w:type="dxa" w:w="3135"/>
            <w:shd w:fill="D9E2F3" w:val="clear"/>
          </w:tcPr>
          <w:p>
            <w:r>
              <w:rPr>
                <w:rFonts w:ascii="Times New Roman" w:hAnsi="Times New Roman"/>
                <w:b/>
                <w:sz w:val="20"/>
              </w:rPr>
              <w:t>Hướng</w:t>
            </w:r>
          </w:p>
        </w:tc>
      </w:tr>
      <w:tr>
        <w:tc>
          <w:tcPr>
            <w:tcW w:type="dxa" w:w="3135"/>
          </w:tcPr>
          <w:p>
            <w:r>
              <w:rPr>
                <w:rFonts w:ascii="Times New Roman" w:hAnsi="Times New Roman"/>
                <w:sz w:val="20"/>
              </w:rPr>
              <w:t>Hỗ trợ xã hội</w:t>
            </w:r>
          </w:p>
        </w:tc>
        <w:tc>
          <w:tcPr>
            <w:tcW w:type="dxa" w:w="3135"/>
          </w:tcPr>
          <w:p>
            <w:r>
              <w:rPr>
                <w:rFonts w:ascii="Times New Roman" w:hAnsi="Times New Roman"/>
                <w:sz w:val="20"/>
              </w:rPr>
              <w:t>Lo âu + Trầm cảm</w:t>
            </w:r>
          </w:p>
        </w:tc>
        <w:tc>
          <w:tcPr>
            <w:tcW w:type="dxa" w:w="3135"/>
          </w:tcPr>
          <w:p>
            <w:r>
              <w:rPr>
                <w:rFonts w:ascii="Times New Roman" w:hAnsi="Times New Roman"/>
                <w:sz w:val="20"/>
              </w:rPr>
              <w:t>Bảo vệ (giảm)</w:t>
            </w:r>
          </w:p>
        </w:tc>
      </w:tr>
      <w:tr>
        <w:tc>
          <w:tcPr>
            <w:tcW w:type="dxa" w:w="3135"/>
          </w:tcPr>
          <w:p>
            <w:r>
              <w:rPr>
                <w:rFonts w:ascii="Times New Roman" w:hAnsi="Times New Roman"/>
                <w:sz w:val="20"/>
              </w:rPr>
              <w:t>Giới tính nữ</w:t>
            </w:r>
          </w:p>
        </w:tc>
        <w:tc>
          <w:tcPr>
            <w:tcW w:type="dxa" w:w="3135"/>
          </w:tcPr>
          <w:p>
            <w:r>
              <w:rPr>
                <w:rFonts w:ascii="Times New Roman" w:hAnsi="Times New Roman"/>
                <w:sz w:val="20"/>
              </w:rPr>
              <w:t>Lo âu</w:t>
            </w:r>
          </w:p>
        </w:tc>
        <w:tc>
          <w:tcPr>
            <w:tcW w:type="dxa" w:w="3135"/>
          </w:tcPr>
          <w:p>
            <w:r>
              <w:rPr>
                <w:rFonts w:ascii="Times New Roman" w:hAnsi="Times New Roman"/>
                <w:sz w:val="20"/>
              </w:rPr>
              <w:t>Nữ &gt; Nam</w:t>
            </w:r>
          </w:p>
        </w:tc>
      </w:tr>
      <w:tr>
        <w:tc>
          <w:tcPr>
            <w:tcW w:type="dxa" w:w="3135"/>
          </w:tcPr>
          <w:p>
            <w:r>
              <w:rPr>
                <w:rFonts w:ascii="Times New Roman" w:hAnsi="Times New Roman"/>
                <w:sz w:val="20"/>
              </w:rPr>
              <w:t>Chất lượng chăm sóc</w:t>
            </w:r>
          </w:p>
        </w:tc>
        <w:tc>
          <w:tcPr>
            <w:tcW w:type="dxa" w:w="3135"/>
          </w:tcPr>
          <w:p>
            <w:r>
              <w:rPr>
                <w:rFonts w:ascii="Times New Roman" w:hAnsi="Times New Roman"/>
                <w:sz w:val="20"/>
              </w:rPr>
              <w:t>SKTT</w:t>
            </w:r>
          </w:p>
        </w:tc>
        <w:tc>
          <w:tcPr>
            <w:tcW w:type="dxa" w:w="3135"/>
          </w:tcPr>
          <w:p>
            <w:r>
              <w:rPr>
                <w:rFonts w:ascii="Times New Roman" w:hAnsi="Times New Roman"/>
                <w:sz w:val="20"/>
              </w:rPr>
              <w:t>Tích cực</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