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  <w:color w:val="000000"/>
        </w:rPr>
        <w:t>Giải thích khả thi cho xu hướng tăng căng thẳng tâm thần ở thanh thiếu niên Na Uy từ 2011 đến 2024</w:t>
      </w:r>
    </w:p>
    <w:p>
      <w:pPr>
        <w:pStyle w:val="Heading2"/>
      </w:pPr>
      <w:r>
        <w:rPr>
          <w:rFonts w:ascii="Times New Roman" w:hAnsi="Times New Roman"/>
          <w:color w:val="000000"/>
        </w:rPr>
        <w:t>Possible Explanations for the Upward Trend in Mental Distress among Adolescents in Norway from 2011 to 2024</w:t>
      </w:r>
    </w:p>
    <w:p>
      <w:pPr>
        <w:pStyle w:val="Heading2"/>
      </w:pPr>
      <w:r>
        <w:rPr>
          <w:rFonts w:ascii="Times New Roman" w:hAnsi="Times New Roman"/>
          <w:color w:val="000000"/>
        </w:rPr>
        <w:t>THÔNG TIN THƯ MỤC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tcW w:w="1984" w:type="dxa"/>
            <w:shd w:fill="D9E2F3" w:val="clear"/>
          </w:tcPr>
          <w:p>
            <w:r>
              <w:rPr>
                <w:rFonts w:ascii="Times New Roman" w:hAnsi="Times New Roman"/>
                <w:b/>
                <w:sz w:val="20"/>
              </w:rPr>
              <w:t>Tiêu đề gốc</w:t>
            </w:r>
          </w:p>
        </w:tc>
        <w:tc>
          <w:tcPr>
            <w:tcW w:type="dxa" w:w="4702"/>
            <w:tcW w:w="7087" w:type="dxa"/>
          </w:tcPr>
          <w:p>
            <w:r>
              <w:rPr>
                <w:rFonts w:ascii="Times New Roman" w:hAnsi="Times New Roman"/>
                <w:sz w:val="20"/>
              </w:rPr>
              <w:t>Possible explanations for the upward trend in mental distress among adolescents in Norway from 2011 to 2024</w:t>
            </w:r>
          </w:p>
        </w:tc>
      </w:tr>
      <w:tr>
        <w:tc>
          <w:tcPr>
            <w:tcW w:type="dxa" w:w="4702"/>
            <w:tcW w:w="1984" w:type="dxa"/>
            <w:shd w:fill="D9E2F3" w:val="clear"/>
          </w:tcPr>
          <w:p>
            <w:r>
              <w:rPr>
                <w:rFonts w:ascii="Times New Roman" w:hAnsi="Times New Roman"/>
                <w:b/>
                <w:sz w:val="20"/>
              </w:rPr>
              <w:t>Tạp chí</w:t>
            </w:r>
          </w:p>
        </w:tc>
        <w:tc>
          <w:tcPr>
            <w:tcW w:type="dxa" w:w="4702"/>
            <w:tcW w:w="7087" w:type="dxa"/>
          </w:tcPr>
          <w:p>
            <w:r>
              <w:rPr>
                <w:rFonts w:ascii="Times New Roman" w:hAnsi="Times New Roman"/>
                <w:sz w:val="20"/>
              </w:rPr>
              <w:t>Social Science &amp; Medicine, 2025 (Q1, IF ≈ 5.4)</w:t>
            </w:r>
          </w:p>
        </w:tc>
      </w:tr>
      <w:tr>
        <w:tc>
          <w:tcPr>
            <w:tcW w:type="dxa" w:w="4702"/>
            <w:tcW w:w="1984" w:type="dxa"/>
            <w:shd w:fill="D9E2F3" w:val="clear"/>
          </w:tcPr>
          <w:p>
            <w:r>
              <w:rPr>
                <w:rFonts w:ascii="Times New Roman" w:hAnsi="Times New Roman"/>
                <w:b/>
                <w:sz w:val="20"/>
              </w:rPr>
              <w:t>Quốc gia</w:t>
            </w:r>
          </w:p>
        </w:tc>
        <w:tc>
          <w:tcPr>
            <w:tcW w:type="dxa" w:w="4702"/>
            <w:tcW w:w="7087" w:type="dxa"/>
          </w:tcPr>
          <w:p>
            <w:r>
              <w:rPr>
                <w:rFonts w:ascii="Times New Roman" w:hAnsi="Times New Roman"/>
                <w:sz w:val="20"/>
              </w:rPr>
              <w:t>Na Uy (Norway)</w:t>
            </w:r>
          </w:p>
        </w:tc>
      </w:tr>
      <w:tr>
        <w:tc>
          <w:tcPr>
            <w:tcW w:type="dxa" w:w="4702"/>
            <w:tcW w:w="1984" w:type="dxa"/>
            <w:shd w:fill="D9E2F3" w:val="clear"/>
          </w:tcPr>
          <w:p>
            <w:r>
              <w:rPr>
                <w:rFonts w:ascii="Times New Roman" w:hAnsi="Times New Roman"/>
                <w:b/>
                <w:sz w:val="20"/>
              </w:rPr>
              <w:t>Số trang</w:t>
            </w:r>
          </w:p>
        </w:tc>
        <w:tc>
          <w:tcPr>
            <w:tcW w:type="dxa" w:w="4702"/>
            <w:tcW w:w="7087" w:type="dxa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</w:tr>
      <w:tr>
        <w:tc>
          <w:tcPr>
            <w:tcW w:type="dxa" w:w="4702"/>
            <w:tcW w:w="1984" w:type="dxa"/>
            <w:shd w:fill="D9E2F3" w:val="clear"/>
          </w:tcPr>
          <w:p>
            <w:r>
              <w:rPr>
                <w:rFonts w:ascii="Times New Roman" w:hAnsi="Times New Roman"/>
                <w:b/>
                <w:sz w:val="20"/>
              </w:rPr>
              <w:t>Đặc điểm</w:t>
            </w:r>
          </w:p>
        </w:tc>
        <w:tc>
          <w:tcPr>
            <w:tcW w:type="dxa" w:w="4702"/>
            <w:tcW w:w="7087" w:type="dxa"/>
          </w:tcPr>
          <w:p>
            <w:r>
              <w:rPr>
                <w:rFonts w:ascii="Times New Roman" w:hAnsi="Times New Roman"/>
                <w:sz w:val="20"/>
              </w:rPr>
              <w:t>Phân tích xu hướng 13 năm, vai trò trường học + mạng xã hội</w:t>
            </w:r>
          </w:p>
        </w:tc>
      </w:tr>
    </w:tbl>
    <w:p>
      <w:pPr>
        <w:pStyle w:val="Heading2"/>
      </w:pPr>
      <w:r>
        <w:rPr>
          <w:rFonts w:ascii="Times New Roman" w:hAnsi="Times New Roman"/>
          <w:color w:val="000000"/>
        </w:rPr>
        <w:t>TÓM TẮT ĐÁNH GIÁ NHANH</w:t>
      </w:r>
    </w:p>
    <w:p>
      <w:r>
        <w:rPr>
          <w:rFonts w:ascii="Times New Roman" w:hAnsi="Times New Roman"/>
          <w:b/>
          <w:i w:val="0"/>
          <w:sz w:val="24"/>
        </w:rPr>
        <w:t>• Xu hướng 13 năm (2011–2024): căng thẳng tâm thần tăng ở cả nam và nữ VTN Na Uy.</w:t>
      </w:r>
    </w:p>
    <w:p>
      <w:r>
        <w:rPr>
          <w:rFonts w:ascii="Times New Roman" w:hAnsi="Times New Roman"/>
          <w:b w:val="0"/>
          <w:i w:val="0"/>
          <w:sz w:val="24"/>
        </w:rPr>
        <w:t>• Bất mãn với trường học giải thích phần lớn xu hướng tăng.</w:t>
      </w:r>
    </w:p>
    <w:p>
      <w:r>
        <w:rPr>
          <w:rFonts w:ascii="Times New Roman" w:hAnsi="Times New Roman"/>
          <w:b w:val="0"/>
          <w:i w:val="0"/>
          <w:sz w:val="24"/>
        </w:rPr>
        <w:t>• Thời gian dùng mạng xã hội cũng giải thích một phần.</w:t>
      </w:r>
    </w:p>
    <w:p>
      <w:r>
        <w:rPr>
          <w:rFonts w:ascii="Times New Roman" w:hAnsi="Times New Roman"/>
          <w:b w:val="0"/>
          <w:i w:val="0"/>
          <w:sz w:val="24"/>
        </w:rPr>
        <w:t>• Social Science &amp; Medicine Q1 — tạp chí uy tín cao.</w:t>
      </w:r>
    </w:p>
    <w:p>
      <w:r>
        <w:rPr>
          <w:rFonts w:ascii="Times New Roman" w:hAnsi="Times New Roman"/>
          <w:b w:val="0"/>
          <w:i w:val="0"/>
          <w:sz w:val="24"/>
        </w:rPr>
        <w:t>• Hạn chế: Chỉ Na Uy, mô hình giải thích (decomposition) không phải nhân quả.</w:t>
      </w:r>
    </w:p>
    <w:p>
      <w:r>
        <w:rPr>
          <w:rFonts w:ascii="Times New Roman" w:hAnsi="Times New Roman"/>
          <w:b/>
          <w:color w:val="FF0000"/>
          <w:sz w:val="26"/>
        </w:rPr>
        <w:t>PHẢN BIỆN</w:t>
      </w:r>
    </w:p>
    <w:p>
      <w:r>
        <w:rPr>
          <w:rFonts w:ascii="Times New Roman" w:hAnsi="Times New Roman"/>
          <w:b w:val="0"/>
          <w:color w:val="FF0000"/>
          <w:sz w:val="24"/>
        </w:rPr>
        <w:t>Điểm mạnh: Q1 IF=5.4, xu hướng 13 năm, phân tích decomposition nâng cao.</w:t>
      </w:r>
    </w:p>
    <w:p>
      <w:r>
        <w:rPr>
          <w:rFonts w:ascii="Times New Roman" w:hAnsi="Times New Roman"/>
          <w:b w:val="0"/>
          <w:color w:val="FF0000"/>
          <w:sz w:val="24"/>
        </w:rPr>
        <w:t>Hạn chế: Chỉ Na Uy — không khái quát cho châu Á. Không đo lo âu trực tiếp (đo mental distress chung).</w:t>
      </w:r>
    </w:p>
    <w:p>
      <w:r>
        <w:rPr>
          <w:rFonts w:ascii="Times New Roman" w:hAnsi="Times New Roman"/>
          <w:b w:val="0"/>
          <w:color w:val="FF0000"/>
          <w:sz w:val="24"/>
        </w:rPr>
        <w:t>Gap: So sánh xu hướng Na Uy với Việt Nam/châu Á. Đánh giá can thiệp giảm mạng xã hội.</w:t>
      </w:r>
    </w:p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