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Xu hướng rối loạn tâm thần ở trẻ em và thanh thiếu niên nhận điều trị trong hệ thống SKTT công lập Hoa Kỳ</w:t>
      </w:r>
    </w:p>
    <w:p>
      <w:pPr>
        <w:pStyle w:val="Heading2"/>
      </w:pPr>
      <w:r>
        <w:rPr>
          <w:rFonts w:ascii="Times New Roman" w:hAnsi="Times New Roman"/>
          <w:color w:val="000000"/>
        </w:rPr>
        <w:t>Trends in Mental Disorders in Children and Adolescents Receiving Treatment in the State Mental Health System</w:t>
      </w:r>
    </w:p>
    <w:p>
      <w:pPr>
        <w:pStyle w:val="Heading2"/>
      </w:pPr>
      <w:r>
        <w:rPr>
          <w:rFonts w:ascii="Times New Roman" w:hAnsi="Times New Roman"/>
          <w:color w:val="000000"/>
        </w:rPr>
        <w:t>THÔNG TIN THƯ MỤC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Tiêu đề gốc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Trends in Mental Disorders in Children and Adolescents Receiving Treatment in the State Mental Health System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Tạp chí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Journal of the American Academy of Child &amp; Adolescent Psychiatry (JAACAP), 2024 (Q1, IF ≈ 11.0)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Quốc gia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Hoa Kỳ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Số trang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Đặc điểm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Xu hướng chẩn đoán 2013–2021, hệ thống y tế công lập Mỹ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TÓM TẮT ĐÁNH GIÁ NHANH</w:t>
      </w:r>
    </w:p>
    <w:p>
      <w:r>
        <w:rPr>
          <w:rFonts w:ascii="Times New Roman" w:hAnsi="Times New Roman"/>
          <w:b/>
          <w:i w:val="0"/>
          <w:sz w:val="24"/>
        </w:rPr>
        <w:t>• JAACAP — tạp chí hàng đầu về tâm thần trẻ em (IF ≈ 11,0).</w:t>
      </w:r>
    </w:p>
    <w:p>
      <w:r>
        <w:rPr>
          <w:rFonts w:ascii="Times New Roman" w:hAnsi="Times New Roman"/>
          <w:b w:val="0"/>
          <w:i w:val="0"/>
          <w:sz w:val="24"/>
        </w:rPr>
        <w:t>• Xu hướng chẩn đoán 8 năm (2013–2021) trong hệ thống y tế công Mỹ.</w:t>
      </w:r>
    </w:p>
    <w:p>
      <w:r>
        <w:rPr>
          <w:rFonts w:ascii="Times New Roman" w:hAnsi="Times New Roman"/>
          <w:b w:val="0"/>
          <w:i w:val="0"/>
          <w:sz w:val="24"/>
        </w:rPr>
        <w:t>• So sánh được với NSCH 2020 (lo âu tăng 61% tại Mỹ).</w:t>
      </w:r>
    </w:p>
    <w:p>
      <w:r>
        <w:rPr>
          <w:rFonts w:ascii="Times New Roman" w:hAnsi="Times New Roman"/>
          <w:b/>
          <w:color w:val="FF0000"/>
          <w:sz w:val="26"/>
        </w:rPr>
        <w:t>PHẢN BIỆN</w:t>
      </w:r>
    </w:p>
    <w:p>
      <w:r>
        <w:rPr>
          <w:rFonts w:ascii="Times New Roman" w:hAnsi="Times New Roman"/>
          <w:b w:val="0"/>
          <w:color w:val="FF0000"/>
          <w:sz w:val="24"/>
        </w:rPr>
        <w:t>Điểm mạnh: JAACAP Q1 IF=11, dữ liệu hệ thống quốc gia Mỹ, xu hướng dài hạn.</w:t>
      </w:r>
    </w:p>
    <w:p>
      <w:r>
        <w:rPr>
          <w:rFonts w:ascii="Times New Roman" w:hAnsi="Times New Roman"/>
          <w:b w:val="0"/>
          <w:color w:val="FF0000"/>
          <w:sz w:val="24"/>
        </w:rPr>
        <w:t>Hạn chế: Chỉ trẻ em ĐANG điều trị — thiên lệch chọn (không bao gồm trẻ chưa được chẩn đoán).</w:t>
      </w:r>
    </w:p>
    <w:p>
      <w:r>
        <w:rPr>
          <w:rFonts w:ascii="Times New Roman" w:hAnsi="Times New Roman"/>
          <w:b w:val="0"/>
          <w:color w:val="FF0000"/>
          <w:sz w:val="24"/>
        </w:rPr>
        <w:t>Gap: So sánh hệ thống y tế công Mỹ với Việt Nam (8,4% tiếp cận dịch vụ).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