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Sức khỏe tâm thần của trẻ em và thanh niên trong khu vực WHO châu Âu</w:t>
      </w:r>
    </w:p>
    <w:p>
      <w:pPr>
        <w:pStyle w:val="Heading2"/>
      </w:pPr>
      <w:r>
        <w:rPr>
          <w:rFonts w:ascii="Times New Roman" w:hAnsi="Times New Roman"/>
          <w:color w:val="000000"/>
        </w:rPr>
        <w:t>Mental Health of Children and Young People in the WHO Europe Region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Mental health of children and young people in the WHO Europe region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The Lancet Regional Health — Europe, 2025 (Q1, IF ≈ 15.0)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Quốc gia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Toàn bộ khu vực WHO châu Âu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Tổng quan toàn diện, 9 triệu VTN châu Âu có rối loạn SKTT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Lancet Regional Health Europe — tạp chí uy tín rất cao (IF ≈ 15,0).</w:t>
      </w:r>
    </w:p>
    <w:p>
      <w:r>
        <w:rPr>
          <w:rFonts w:ascii="Times New Roman" w:hAnsi="Times New Roman"/>
          <w:b w:val="0"/>
          <w:i w:val="0"/>
          <w:sz w:val="24"/>
        </w:rPr>
        <w:t>• 9 triệu VTN châu Âu (10–19 tuổi) sống với rối loạn SKTT.</w:t>
      </w:r>
    </w:p>
    <w:p>
      <w:r>
        <w:rPr>
          <w:rFonts w:ascii="Times New Roman" w:hAnsi="Times New Roman"/>
          <w:b w:val="0"/>
          <w:i w:val="0"/>
          <w:sz w:val="24"/>
        </w:rPr>
        <w:t>• Lo âu + trầm cảm chiếm &gt;50% các ca rối loạn.</w:t>
      </w:r>
    </w:p>
    <w:p>
      <w:r>
        <w:rPr>
          <w:rFonts w:ascii="Times New Roman" w:hAnsi="Times New Roman"/>
          <w:b w:val="0"/>
          <w:i w:val="0"/>
          <w:sz w:val="24"/>
        </w:rPr>
        <w:t>• Tổng quan toàn diện cho chính sách — rất phù hợp cho phần Tổng quan tài liệu của Đề tài.</w:t>
      </w:r>
    </w:p>
    <w:p>
      <w:r>
        <w:rPr>
          <w:rFonts w:ascii="Times New Roman" w:hAnsi="Times New Roman"/>
          <w:b/>
          <w:color w:val="FF0000"/>
          <w:sz w:val="26"/>
        </w:rPr>
        <w:t>PHẢN BIỆN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Lancet Q1 IF=15, phạm vi toàn châu Âu, hướng chính sách.</w:t>
      </w:r>
    </w:p>
    <w:p>
      <w:r>
        <w:rPr>
          <w:rFonts w:ascii="Times New Roman" w:hAnsi="Times New Roman"/>
          <w:b w:val="0"/>
          <w:color w:val="FF0000"/>
          <w:sz w:val="24"/>
        </w:rPr>
        <w:t>Hạn chế: Tổng quan chính sách, không phải nghiên cứu gốc — thiếu số liệu cụ thể tại từng nước.</w:t>
      </w:r>
    </w:p>
    <w:p>
      <w:r>
        <w:rPr>
          <w:rFonts w:ascii="Times New Roman" w:hAnsi="Times New Roman"/>
          <w:b w:val="0"/>
          <w:color w:val="FF0000"/>
          <w:sz w:val="24"/>
        </w:rPr>
        <w:t>Gap: So sánh mô hình can thiệp châu Âu với ASEAN/Việt Nam.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