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Sử dụng mạng xã hội ở thanh thiếu niên có và không có tình trạng sức khỏe tâm thần</w:t>
      </w:r>
    </w:p>
    <w:p>
      <w:pPr>
        <w:pStyle w:val="Heading2"/>
      </w:pPr>
      <w:r>
        <w:rPr>
          <w:rFonts w:ascii="Times New Roman" w:hAnsi="Times New Roman"/>
          <w:color w:val="000000"/>
        </w:rPr>
        <w:t>Social Media Use in Adolescents with and without Mental Health Conditions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Social media use in adolescents with and without mental health conditions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Nature Human Behaviour, Vol. 9, June 2025, pp. 1283–1299 (Q1, IF ≈ 24.0)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Vương quốc Anh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So sánh VTN có/không rối loạn TT về hành vi mạng xã hội. Nature — IF cực cao.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Nature Human Behaviour — IF ≈ 24,0, tạp chí TOP toàn cầu.</w:t>
      </w:r>
    </w:p>
    <w:p>
      <w:r>
        <w:rPr>
          <w:rFonts w:ascii="Times New Roman" w:hAnsi="Times New Roman"/>
          <w:b w:val="0"/>
          <w:i w:val="0"/>
          <w:sz w:val="24"/>
        </w:rPr>
        <w:t>• VTN có rối loạn SKTT dùng mạng xã hội nhiều hơn và ít hài lòng hơn.</w:t>
      </w:r>
    </w:p>
    <w:p>
      <w:r>
        <w:rPr>
          <w:rFonts w:ascii="Times New Roman" w:hAnsi="Times New Roman"/>
          <w:b w:val="0"/>
          <w:i w:val="0"/>
          <w:sz w:val="24"/>
        </w:rPr>
        <w:t>• Nghiên cứu tại Anh, quốc gia đại diện (N = 3.340, 11–19 tuổi).</w:t>
      </w:r>
    </w:p>
    <w:p>
      <w:r>
        <w:rPr>
          <w:rFonts w:ascii="Times New Roman" w:hAnsi="Times New Roman"/>
          <w:b w:val="0"/>
          <w:i w:val="0"/>
          <w:sz w:val="24"/>
        </w:rPr>
        <w:t>• Bao gồm đánh giá chẩn đoán bởi chuyên gia lâm sàng.</w:t>
      </w:r>
    </w:p>
    <w:p>
      <w:r>
        <w:rPr>
          <w:rFonts w:ascii="Times New Roman" w:hAnsi="Times New Roman"/>
          <w:b w:val="0"/>
          <w:i w:val="0"/>
          <w:sz w:val="24"/>
        </w:rPr>
        <w:t>• Phù hợp với Chen 2023 (game OR=5,00) và Hoàng Trung Học 2025 (điện tử Beta=0,176).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Nature Q1 IF=24, mẫu quốc gia UK, chẩn đoán lâm sàng, thiết kế mạnh.</w:t>
      </w:r>
    </w:p>
    <w:p>
      <w:r>
        <w:rPr>
          <w:rFonts w:ascii="Times New Roman" w:hAnsi="Times New Roman"/>
          <w:b w:val="0"/>
          <w:color w:val="FF0000"/>
          <w:sz w:val="24"/>
        </w:rPr>
        <w:t>Hạn chế: Chỉ UK — khác biệt văn hóa với châu Á. Cắt ngang — không suy luận nhân quả.</w:t>
      </w:r>
    </w:p>
    <w:p>
      <w:r>
        <w:rPr>
          <w:rFonts w:ascii="Times New Roman" w:hAnsi="Times New Roman"/>
          <w:b w:val="0"/>
          <w:color w:val="FF0000"/>
          <w:sz w:val="24"/>
        </w:rPr>
        <w:t>Gap: Nghiên cứu tương tự tại VN so sánh VTN có/không SKTT về hành vi mạng xã hội.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