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Hiệu quả các loại can thiệp khác nhau cho rối loạn lo âu ở trẻ em và thanh thiếu niên: Tổng quan hệ thống và phân tích tổng hợp mạng Bayesian</w:t>
      </w:r>
    </w:p>
    <w:p>
      <w:pPr>
        <w:pStyle w:val="Heading2"/>
      </w:pPr>
      <w:r>
        <w:rPr>
          <w:rFonts w:ascii="Times New Roman" w:hAnsi="Times New Roman"/>
          <w:color w:val="000000"/>
        </w:rPr>
        <w:t>Effects of Different Interventions on Anxiety Disorders in Children and Adolescents: A Systematic Review and Bayesian Network Meta-analysis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 gốc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Effects of different interventions on anxiety disorders in children and adolescents: a systematic review and Bayesian network meta-analysis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BMC Psychiatry, 2025 (Q1, Open Access)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Số trang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30 RCTs, 1.711 HS — so sánh CBT, thuốc, kết hợp, tâm lý giáo dục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• Network meta-analysis — so sánh ĐỒNG THỜI nhiều loại can thiệp.</w:t>
      </w:r>
    </w:p>
    <w:p>
      <w:r>
        <w:rPr>
          <w:rFonts w:ascii="Times New Roman" w:hAnsi="Times New Roman"/>
          <w:b w:val="0"/>
          <w:i w:val="0"/>
          <w:sz w:val="24"/>
        </w:rPr>
        <w:t>• 30 RCTs, 1.711 trẻ — bằng chứng mạnh.</w:t>
      </w:r>
    </w:p>
    <w:p>
      <w:r>
        <w:rPr>
          <w:rFonts w:ascii="Times New Roman" w:hAnsi="Times New Roman"/>
          <w:b w:val="0"/>
          <w:i w:val="0"/>
          <w:sz w:val="24"/>
        </w:rPr>
        <w:t>• BMC Psychiatry Q1 Open Access.</w:t>
      </w:r>
    </w:p>
    <w:p>
      <w:r>
        <w:rPr>
          <w:rFonts w:ascii="Times New Roman" w:hAnsi="Times New Roman"/>
          <w:b w:val="0"/>
          <w:i w:val="0"/>
          <w:sz w:val="24"/>
        </w:rPr>
        <w:t>• Bổ sung cho Zhameden 2025 (6 RCTs LMIC, GRADE rất thấp).</w:t>
      </w:r>
    </w:p>
    <w:p>
      <w:r>
        <w:rPr>
          <w:rFonts w:ascii="Times New Roman" w:hAnsi="Times New Roman"/>
          <w:b/>
          <w:color w:val="FF0000"/>
          <w:sz w:val="26"/>
        </w:rPr>
        <w:t>PHẢN BIỆN</w:t>
      </w:r>
    </w:p>
    <w:p>
      <w:r>
        <w:rPr>
          <w:rFonts w:ascii="Times New Roman" w:hAnsi="Times New Roman"/>
          <w:b w:val="0"/>
          <w:color w:val="FF0000"/>
          <w:sz w:val="24"/>
        </w:rPr>
        <w:t>Điểm mạnh: Network meta Bayesian — phương pháp nâng cao nhất. BMC Q1. 30 RCTs.</w:t>
      </w:r>
    </w:p>
    <w:p>
      <w:r>
        <w:rPr>
          <w:rFonts w:ascii="Times New Roman" w:hAnsi="Times New Roman"/>
          <w:b w:val="0"/>
          <w:color w:val="FF0000"/>
          <w:sz w:val="24"/>
        </w:rPr>
        <w:t>Hạn chế: Cần đọc chi tiết kết quả xếp hạng can thiệp. Có thể thiên lệch xuất bản.</w:t>
      </w:r>
    </w:p>
    <w:p>
      <w:r>
        <w:rPr>
          <w:rFonts w:ascii="Times New Roman" w:hAnsi="Times New Roman"/>
          <w:b w:val="0"/>
          <w:color w:val="FF0000"/>
          <w:sz w:val="24"/>
        </w:rPr>
        <w:t>Gap: 0 RCT từ Việt Nam trong phân tích — cần thêm bằng chứng LMIC/châu Á.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