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color w:val="0000FF"/>
          <w:sz w:val="20"/>
        </w:rPr>
        <w:t>Link bài báo gốc: https://doi.org/10.52163/yhc.v66iCD10.2617</w:t>
      </w:r>
    </w:p>
    <w:p/>
    <w:p>
      <w:pPr>
        <w:pStyle w:val="Heading1"/>
      </w:pPr>
      <w:r>
        <w:rPr>
          <w:rFonts w:ascii="Times New Roman" w:hAnsi="Times New Roman"/>
          <w:color w:val="000000"/>
        </w:rPr>
        <w:t>Thực trạng sức khỏe tâm thần của học sinh THPT tại Hà Nội: Nghiên cứu cắt ngang về trầm cảm, lo âu và căng thẳng</w:t>
      </w:r>
    </w:p>
    <w:p>
      <w:pPr>
        <w:pStyle w:val="Heading2"/>
      </w:pPr>
      <w:r>
        <w:rPr>
          <w:rFonts w:ascii="Times New Roman" w:hAnsi="Times New Roman"/>
          <w:color w:val="000000"/>
        </w:rPr>
        <w:t>Mental Health Status of High School Students in Hanoi: A Cross-Sectional Study on Depression, Anxiety, and Stress</w:t>
      </w:r>
    </w:p>
    <w:p>
      <w:pPr>
        <w:pStyle w:val="Heading2"/>
      </w:pPr>
      <w:r>
        <w:rPr>
          <w:rFonts w:ascii="Times New Roman" w:hAnsi="Times New Roman"/>
          <w:color w:val="000000"/>
        </w:rPr>
        <w:t>THÔNG TIN THƯ MỤC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Tiêu đề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Thực trạng sức khỏe tâm thần của học sinh THPT tại Hà Nội</w:t>
            </w:r>
          </w:p>
        </w:tc>
      </w:tr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Tác giả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Nguyễn Ngọc Bảo Quyên, Lưu Minh Đức, Vũ Minh Thy, Nguyễn Yến Minh, Nguyễn Châu Anh, Hoàng Lan Vân, Giáp Thị Thanh Tình</w:t>
            </w:r>
          </w:p>
        </w:tc>
      </w:tr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Cơ quan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Đại học VinUni; ĐH Y Dược, ĐHQG Hà Nội</w:t>
            </w:r>
          </w:p>
        </w:tc>
      </w:tr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Tạp chí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Tạp chí Y học Cộng đồng, Tập 66, Chuyên đề 10, 2025, tr. 79–86</w:t>
            </w:r>
          </w:p>
        </w:tc>
      </w:tr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DOI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10.52163/yhc.v66iCD10.2617</w:t>
            </w:r>
          </w:p>
        </w:tc>
      </w:tr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Cỡ mẫu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501 HS THPT Hà Nội (78% nữ), 8–12/2023</w:t>
            </w:r>
          </w:p>
        </w:tc>
      </w:tr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Công cụ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DASS-21, khảo sát trực tuyến, SPSS 27.0</w:t>
            </w:r>
          </w:p>
        </w:tc>
      </w:tr>
    </w:tbl>
    <w:p>
      <w:pPr>
        <w:pStyle w:val="Heading2"/>
      </w:pPr>
      <w:r>
        <w:rPr>
          <w:rFonts w:ascii="Times New Roman" w:hAnsi="Times New Roman"/>
          <w:color w:val="000000"/>
        </w:rPr>
        <w:t>TÓM TẮT ĐÁNH GIÁ NHANH</w:t>
      </w:r>
    </w:p>
    <w:p>
      <w:r>
        <w:rPr>
          <w:rFonts w:ascii="Times New Roman" w:hAnsi="Times New Roman"/>
          <w:b/>
          <w:i w:val="0"/>
          <w:sz w:val="24"/>
        </w:rPr>
        <w:t>Điểm nổi bật:</w:t>
      </w:r>
    </w:p>
    <w:p>
      <w:r>
        <w:rPr>
          <w:rFonts w:ascii="Times New Roman" w:hAnsi="Times New Roman"/>
          <w:b w:val="0"/>
          <w:i w:val="0"/>
          <w:sz w:val="24"/>
        </w:rPr>
        <w:t>• Lo âu 86,2%, trầm cảm 78,8%, căng thẳng 76,6% — tỷ lệ CAO NHẤT trong tất cả nghiên cứu VN.</w:t>
      </w:r>
    </w:p>
    <w:p>
      <w:r>
        <w:rPr>
          <w:rFonts w:ascii="Times New Roman" w:hAnsi="Times New Roman"/>
          <w:b w:val="0"/>
          <w:i w:val="0"/>
          <w:sz w:val="24"/>
        </w:rPr>
        <w:t>• Nữ bị ảnh hưởng nặng hơn nam ở cả 3 chỉ số (p &lt; 0,05).</w:t>
      </w:r>
    </w:p>
    <w:p>
      <w:r>
        <w:rPr>
          <w:rFonts w:ascii="Times New Roman" w:hAnsi="Times New Roman"/>
          <w:b w:val="0"/>
          <w:i w:val="0"/>
          <w:sz w:val="24"/>
        </w:rPr>
        <w:t>• Nghiên cứu tại Hà Nội, VinUni — cơ sở đào tạo uy tín.</w:t>
      </w:r>
    </w:p>
    <w:p>
      <w:r>
        <w:rPr>
          <w:rFonts w:ascii="Times New Roman" w:hAnsi="Times New Roman"/>
          <w:b/>
          <w:i w:val="0"/>
          <w:sz w:val="24"/>
        </w:rPr>
        <w:t>Hạn chế:</w:t>
      </w:r>
    </w:p>
    <w:p>
      <w:r>
        <w:rPr>
          <w:rFonts w:ascii="Times New Roman" w:hAnsi="Times New Roman"/>
          <w:b w:val="0"/>
          <w:i w:val="0"/>
          <w:sz w:val="24"/>
        </w:rPr>
        <w:t>• Tỷ lệ CỰC CAO (86,2% lo âu) — DASS-21 với ngưỡng thấp (≥4 lo âu) bao gồm cả "nhẹ", đặt câu hỏi về tính phân biệt lâm sàng.</w:t>
      </w:r>
    </w:p>
    <w:p>
      <w:r>
        <w:rPr>
          <w:rFonts w:ascii="Times New Roman" w:hAnsi="Times New Roman"/>
          <w:b w:val="0"/>
          <w:i w:val="0"/>
          <w:sz w:val="24"/>
        </w:rPr>
        <w:t>• Nữ chiếm 78% mẫu — thiên lệch giới tính nghiêm trọng.</w:t>
      </w:r>
    </w:p>
    <w:p>
      <w:r>
        <w:rPr>
          <w:rFonts w:ascii="Times New Roman" w:hAnsi="Times New Roman"/>
          <w:b w:val="0"/>
          <w:i w:val="0"/>
          <w:sz w:val="24"/>
        </w:rPr>
        <w:t>• Khảo sát trực tuyến — thiên lệch tự chọn. Cỡ mẫu 501 — nhỏ cho Hà Nội.</w:t>
      </w:r>
    </w:p>
    <w:p>
      <w:r>
        <w:rPr>
          <w:rFonts w:ascii="Times New Roman" w:hAnsi="Times New Roman"/>
          <w:b w:val="0"/>
          <w:i w:val="0"/>
          <w:sz w:val="24"/>
        </w:rPr>
        <w:t>• So với V-NAMHS 2022 (DISC-5: 2,3%), chênh lệch 37 lần — phương pháp quyết định kết quả.</w:t>
      </w:r>
    </w:p>
    <w:p>
      <w:r>
        <w:rPr>
          <w:rFonts w:ascii="Times New Roman" w:hAnsi="Times New Roman"/>
          <w:i/>
          <w:color w:val="0070C0"/>
          <w:sz w:val="22"/>
        </w:rPr>
        <w:t>Nói cách khác, nghiên cứu sử dụng thang sàng lọc DASS-21 với ngưỡng cắt rất thấp (lo âu ≥4) — bao gồm cả mức "nhẹ" mà có thể không cần can thiệp lâm sàng — nên tỷ lệ 86,2% cần được diễn giải thận trọng.</w:t>
      </w:r>
    </w:p>
    <w:p>
      <w:pPr>
        <w:pStyle w:val="Heading2"/>
      </w:pPr>
      <w:r>
        <w:rPr>
          <w:rFonts w:ascii="Times New Roman" w:hAnsi="Times New Roman"/>
          <w:color w:val="000000"/>
        </w:rPr>
        <w:t>TÓM TẮT</w:t>
      </w:r>
    </w:p>
    <w:p>
      <w:r>
        <w:rPr>
          <w:rFonts w:ascii="Times New Roman" w:hAnsi="Times New Roman"/>
          <w:i/>
          <w:color w:val="808080"/>
          <w:sz w:val="18"/>
        </w:rPr>
        <w:t>--- Trang 79–80, TC Y học Cộng đồng, Tập 66, CD10, 2025 ---</w:t>
      </w:r>
    </w:p>
    <w:p>
      <w:r>
        <w:rPr>
          <w:rFonts w:ascii="Times New Roman" w:hAnsi="Times New Roman"/>
          <w:b w:val="0"/>
          <w:color w:val="FF0000"/>
          <w:sz w:val="24"/>
        </w:rPr>
        <w:t>Phương pháp: Cắt ngang, 501 HS THPT Hà Nội (8–12/2023). DASS-21 trực tuyến. SPSS 27.0: ANOVA, t-test, chi-square, hồi quy.</w:t>
      </w:r>
    </w:p>
    <w:p>
      <w:r>
        <w:rPr>
          <w:rFonts w:ascii="Times New Roman" w:hAnsi="Times New Roman"/>
          <w:b w:val="0"/>
          <w:color w:val="FF0000"/>
          <w:sz w:val="24"/>
        </w:rPr>
        <w:t>Kết quả: Trầm cảm 78,8% (nặng+rất nặng 33,2%), lo âu 86,2% (nặng+rất nặng 54,5%), căng thẳng 76,6% (nặng+rất nặng 38,3%). Giới tính liên quan có ý nghĩa (p &lt; 0,05). Khối lớp và loại trường không ý nghĩa.</w:t>
      </w:r>
    </w:p>
    <w:p>
      <w:pPr>
        <w:pStyle w:val="Heading2"/>
      </w:pPr>
      <w:r>
        <w:rPr>
          <w:rFonts w:ascii="Times New Roman" w:hAnsi="Times New Roman"/>
          <w:color w:val="000000"/>
        </w:rPr>
        <w:t>KẾT QUẢ CHI TIẾT</w:t>
      </w:r>
    </w:p>
    <w:p>
      <w:r>
        <w:rPr>
          <w:rFonts w:ascii="Times New Roman" w:hAnsi="Times New Roman"/>
          <w:i/>
          <w:color w:val="808080"/>
          <w:sz w:val="18"/>
        </w:rPr>
        <w:t>--- Trang 82–85, TC Y học Cộng đồng, Tập 66, CD10, 2025 ---</w:t>
      </w:r>
    </w:p>
    <w:p>
      <w:r>
        <w:rPr>
          <w:rFonts w:ascii="Times New Roman" w:hAnsi="Times New Roman"/>
          <w:b/>
          <w:i w:val="0"/>
          <w:sz w:val="24"/>
        </w:rPr>
        <w:t>Tỷ lệ trầm cảm, lo âu, căng thẳng (N = 501):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tcW w:w="1701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Mức độ</w:t>
            </w:r>
          </w:p>
        </w:tc>
        <w:tc>
          <w:tcPr>
            <w:tcW w:type="dxa" w:w="2351"/>
            <w:tcW w:w="1701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Trầm cảm n (%)</w:t>
            </w:r>
          </w:p>
        </w:tc>
        <w:tc>
          <w:tcPr>
            <w:tcW w:type="dxa" w:w="2351"/>
            <w:tcW w:w="1701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Lo âu n (%)</w:t>
            </w:r>
          </w:p>
        </w:tc>
        <w:tc>
          <w:tcPr>
            <w:tcW w:type="dxa" w:w="2351"/>
            <w:tcW w:w="1701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Căng thẳng n (%)</w:t>
            </w:r>
          </w:p>
        </w:tc>
      </w:tr>
      <w:tr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Bình thường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106 (21,2%)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69 (13,8%)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117 (23,4%)</w:t>
            </w:r>
          </w:p>
        </w:tc>
      </w:tr>
      <w:tr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Nhẹ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78 (15,6%)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33 (6,6%)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72 (14,4%)</w:t>
            </w:r>
          </w:p>
        </w:tc>
      </w:tr>
      <w:tr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Vừa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151 (30,1%)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126 (25,1%)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120 (24,0%)</w:t>
            </w:r>
          </w:p>
        </w:tc>
      </w:tr>
      <w:tr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Nặng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61 (12,2%)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87 (17,4%)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126 (25,1%)</w:t>
            </w:r>
          </w:p>
        </w:tc>
      </w:tr>
      <w:tr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Rất nặng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105 (21,0%)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186 (37,1%)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66 (13,2%)</w:t>
            </w:r>
          </w:p>
        </w:tc>
      </w:tr>
      <w:tr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Tổng có triệu chứng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395 (78,8%)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432 (86,2%)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384 (76,6%)</w:t>
            </w:r>
          </w:p>
        </w:tc>
      </w:tr>
      <w:tr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Điểm TB ± SD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17,71 ± 10,14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16,58 ± 8,45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22,14 ± 9,04</w:t>
            </w:r>
          </w:p>
        </w:tc>
      </w:tr>
    </w:tbl>
    <w:p/>
    <w:p>
      <w:r>
        <w:rPr>
          <w:rFonts w:ascii="Times New Roman" w:hAnsi="Times New Roman"/>
          <w:b w:val="0"/>
          <w:i/>
          <w:sz w:val="24"/>
        </w:rPr>
        <w:t>Nhân khẩu học: 78% nữ, 21,6% nam. Công lập 68%, tư thục 19%, chuyên 13%. 90,4% không dùng thuốc, 92,8% không dùng chất kích thích.</w:t>
      </w:r>
    </w:p>
    <w:p>
      <w:pPr>
        <w:pStyle w:val="Heading2"/>
      </w:pPr>
      <w:r>
        <w:rPr>
          <w:rFonts w:ascii="Times New Roman" w:hAnsi="Times New Roman"/>
          <w:color w:val="000000"/>
        </w:rPr>
        <w:t>THẢO LUẬN</w:t>
      </w:r>
    </w:p>
    <w:p>
      <w:r>
        <w:rPr>
          <w:rFonts w:ascii="Times New Roman" w:hAnsi="Times New Roman"/>
          <w:b w:val="0"/>
          <w:i w:val="0"/>
          <w:sz w:val="24"/>
        </w:rPr>
        <w:t>Tỷ lệ lo âu 86,2% là CAO NHẤT trong tất cả NC tại Việt Nam. So sánh: Hoa 2024 (GAD-7): 40,6%; Ngo Anh Vinh 2024 (DASS-21): 54,4%; V-NAMHS 2022 (DISC-5): 2,3%. Sự chênh lệch chủ yếu do ngưỡng cắt DASS-21 rất thấp (≥4 cho lo âu) — bao gồm cả mức "nhẹ" mà có thể không có ý nghĩa lâm sàng.</w:t>
      </w:r>
    </w:p>
    <w:p>
      <w:r>
        <w:rPr>
          <w:rFonts w:ascii="Times New Roman" w:hAnsi="Times New Roman"/>
          <w:b w:val="0"/>
          <w:i w:val="0"/>
          <w:sz w:val="24"/>
        </w:rPr>
        <w:t>Nữ chiếm 78% mẫu — thiên lệch giới tính có thể phóng đại tỷ lệ tổng (nữ luôn có tỷ lệ cao hơn nam). Khảo sát trực tuyến cũng có thiên lệch tự chọn.</w:t>
      </w:r>
    </w:p>
    <w:p>
      <w:pPr>
        <w:pStyle w:val="Heading2"/>
      </w:pPr>
      <w:r>
        <w:rPr>
          <w:rFonts w:ascii="Times New Roman" w:hAnsi="Times New Roman"/>
          <w:color w:val="000000"/>
        </w:rPr>
        <w:t>TÀI LIỆU THAM KHẢO</w:t>
      </w:r>
    </w:p>
    <w:p>
      <w:r>
        <w:rPr>
          <w:rFonts w:ascii="Times New Roman" w:hAnsi="Times New Roman"/>
          <w:b w:val="0"/>
          <w:i/>
          <w:sz w:val="24"/>
        </w:rPr>
        <w:t>[Giữ nguyên TLTK từ bài gốc — xem PDF trang 86]</w:t>
      </w:r>
    </w:p>
    <w:p>
      <w:pPr>
        <w:pStyle w:val="Heading2"/>
      </w:pPr>
      <w:r>
        <w:rPr>
          <w:rFonts w:ascii="Times New Roman" w:hAnsi="Times New Roman"/>
          <w:color w:val="000000"/>
        </w:rPr>
        <w:t>BẢNG VIẾT TẮT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tcW w:w="1701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Viết tắt</w:t>
            </w:r>
          </w:p>
        </w:tc>
        <w:tc>
          <w:tcPr>
            <w:tcW w:type="dxa" w:w="4702"/>
            <w:tcW w:w="7371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Đầy đủ</w:t>
            </w:r>
          </w:p>
        </w:tc>
      </w:tr>
      <w:tr>
        <w:tc>
          <w:tcPr>
            <w:tcW w:type="dxa" w:w="4702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DASS-21</w:t>
            </w:r>
          </w:p>
        </w:tc>
        <w:tc>
          <w:tcPr>
            <w:tcW w:type="dxa" w:w="4702"/>
            <w:tcW w:w="7371" w:type="dxa"/>
          </w:tcPr>
          <w:p>
            <w:r>
              <w:rPr>
                <w:rFonts w:ascii="Times New Roman" w:hAnsi="Times New Roman"/>
                <w:sz w:val="20"/>
              </w:rPr>
              <w:t>Depression Anxiety Stress Scale 21 — Thang đo Trầm cảm Lo âu Căng thẳng</w:t>
            </w:r>
          </w:p>
        </w:tc>
      </w:tr>
      <w:tr>
        <w:tc>
          <w:tcPr>
            <w:tcW w:type="dxa" w:w="4702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SKTT</w:t>
            </w:r>
          </w:p>
        </w:tc>
        <w:tc>
          <w:tcPr>
            <w:tcW w:type="dxa" w:w="4702"/>
            <w:tcW w:w="7371" w:type="dxa"/>
          </w:tcPr>
          <w:p>
            <w:r>
              <w:rPr>
                <w:rFonts w:ascii="Times New Roman" w:hAnsi="Times New Roman"/>
                <w:sz w:val="20"/>
              </w:rPr>
              <w:t>Sức khỏe tâm thần</w:t>
            </w:r>
          </w:p>
        </w:tc>
      </w:tr>
      <w:tr>
        <w:tc>
          <w:tcPr>
            <w:tcW w:type="dxa" w:w="4702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THPT</w:t>
            </w:r>
          </w:p>
        </w:tc>
        <w:tc>
          <w:tcPr>
            <w:tcW w:type="dxa" w:w="4702"/>
            <w:tcW w:w="7371" w:type="dxa"/>
          </w:tcPr>
          <w:p>
            <w:r>
              <w:rPr>
                <w:rFonts w:ascii="Times New Roman" w:hAnsi="Times New Roman"/>
                <w:sz w:val="20"/>
              </w:rPr>
              <w:t>Trung học phổ thông</w:t>
            </w:r>
          </w:p>
        </w:tc>
      </w:tr>
      <w:tr>
        <w:tc>
          <w:tcPr>
            <w:tcW w:type="dxa" w:w="4702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YHCĐ</w:t>
            </w:r>
          </w:p>
        </w:tc>
        <w:tc>
          <w:tcPr>
            <w:tcW w:type="dxa" w:w="4702"/>
            <w:tcW w:w="7371" w:type="dxa"/>
          </w:tcPr>
          <w:p>
            <w:r>
              <w:rPr>
                <w:rFonts w:ascii="Times New Roman" w:hAnsi="Times New Roman"/>
                <w:sz w:val="20"/>
              </w:rPr>
              <w:t>Tạp chí Y học Cộng đồng</w:t>
            </w:r>
          </w:p>
        </w:tc>
      </w:tr>
    </w:tbl>
    <w:p>
      <w:r>
        <w:rPr>
          <w:rFonts w:ascii="Times New Roman" w:hAnsi="Times New Roman"/>
          <w:b/>
          <w:color w:val="0070C0"/>
          <w:sz w:val="24"/>
        </w:rPr>
        <w:t xml:space="preserve">Nhận định tổng hợp (Kiến trúc B): </w:t>
      </w:r>
      <w:r>
        <w:rPr>
          <w:rFonts w:ascii="Times New Roman" w:hAnsi="Times New Roman"/>
          <w:color w:val="0070C0"/>
          <w:sz w:val="24"/>
        </w:rPr>
        <w:t>Dữ liệu của nghiên cứu này, cho thấy tỷ lệ lo âu 86,2% — cao nhất trong tất cả nghiên cứu tại Việt Nam, gợi ý rằng hoặc DASS-21 với ngưỡng thấp không phù hợp cho sàng lọc dân số chung, hoặc sức khỏe tâm thần học sinh THPT Hà Nội thực sự ở mức báo động — cần nghiên cứu xác nhận với công cụ chẩn đoán (DISC-5).</w:t>
      </w:r>
    </w:p>
    <w:p>
      <w:pPr>
        <w:pStyle w:val="Heading2"/>
      </w:pPr>
      <w:r>
        <w:rPr>
          <w:rFonts w:ascii="Times New Roman" w:hAnsi="Times New Roman"/>
          <w:b/>
          <w:color w:val="FF0000"/>
        </w:rPr>
        <w:t>QUAN ĐIỂM PHẢN BIỆN / CRITICAL REVIEW</w:t>
      </w:r>
    </w:p>
    <w:p>
      <w:r>
        <w:rPr>
          <w:rFonts w:ascii="Times New Roman" w:hAnsi="Times New Roman"/>
          <w:b/>
          <w:color w:val="FF0000"/>
          <w:sz w:val="22"/>
        </w:rPr>
        <w:t xml:space="preserve">Đối chiếu giới tính (KT3): </w:t>
      </w:r>
      <w:r>
        <w:rPr>
          <w:rFonts w:ascii="Times New Roman" w:hAnsi="Times New Roman"/>
          <w:color w:val="FF0000"/>
          <w:sz w:val="22"/>
        </w:rPr>
        <w:t>Y văn quốc tế xác nhận nữ &gt; nam về lo âu (McLean, 2011). Nghiên cứu này phù hợp xu hướng đó (p &lt; 0,05). Tuy nhiên, mẫu có 78% nữ — thiên lệch nghiêm trọng — nên kết quả giới tính có thể phản ánh đặc điểm mẫu hơn là dân số thực.</w:t>
      </w:r>
    </w:p>
    <w:p>
      <w:r>
        <w:rPr>
          <w:rFonts w:ascii="Times New Roman" w:hAnsi="Times New Roman"/>
          <w:b/>
          <w:color w:val="FF0000"/>
          <w:sz w:val="24"/>
        </w:rPr>
        <w:t>Điểm mạnh:</w:t>
      </w:r>
    </w:p>
    <w:p>
      <w:r>
        <w:rPr>
          <w:rFonts w:ascii="Times New Roman" w:hAnsi="Times New Roman"/>
          <w:b w:val="0"/>
          <w:color w:val="FF0000"/>
          <w:sz w:val="24"/>
        </w:rPr>
        <w:t>1. Đề tài thời sự — SKTT HS THPT Hà Nội, dữ liệu 2023.</w:t>
      </w:r>
    </w:p>
    <w:p>
      <w:r>
        <w:rPr>
          <w:rFonts w:ascii="Times New Roman" w:hAnsi="Times New Roman"/>
          <w:b w:val="0"/>
          <w:color w:val="FF0000"/>
          <w:sz w:val="24"/>
        </w:rPr>
        <w:t>2. VinUni — cơ sở đào tạo uy tín, có IRB từ Vinmec.</w:t>
      </w:r>
    </w:p>
    <w:p>
      <w:r>
        <w:rPr>
          <w:rFonts w:ascii="Times New Roman" w:hAnsi="Times New Roman"/>
          <w:b w:val="0"/>
          <w:color w:val="FF0000"/>
          <w:sz w:val="24"/>
        </w:rPr>
        <w:t>3. Đánh giá cả 3 chỉ số cùng lúc (trầm cảm, lo âu, căng thẳng).</w:t>
      </w:r>
    </w:p>
    <w:p>
      <w:r>
        <w:rPr>
          <w:rFonts w:ascii="Times New Roman" w:hAnsi="Times New Roman"/>
          <w:b/>
          <w:color w:val="FF0000"/>
          <w:sz w:val="24"/>
        </w:rPr>
        <w:t>Hạn chế:</w:t>
      </w:r>
    </w:p>
    <w:p>
      <w:r>
        <w:rPr>
          <w:rFonts w:ascii="Times New Roman" w:hAnsi="Times New Roman"/>
          <w:b w:val="0"/>
          <w:color w:val="FF0000"/>
          <w:sz w:val="24"/>
        </w:rPr>
        <w:t>1. Tỷ lệ lo âu 86,2% CỰC CAO — DASS-21 ngưỡng ≥4 bao gồm cả "nhẹ". Nếu chỉ tính nặng+rất nặng: 54,5% — vẫn rất cao.</w:t>
      </w:r>
    </w:p>
    <w:p>
      <w:r>
        <w:rPr>
          <w:rFonts w:ascii="Times New Roman" w:hAnsi="Times New Roman"/>
          <w:b w:val="0"/>
          <w:color w:val="FF0000"/>
          <w:sz w:val="24"/>
        </w:rPr>
        <w:t>2. Nữ chiếm 78% mẫu — thiên lệch giới tính nghiêm trọng, không đại diện dân số HS.</w:t>
      </w:r>
    </w:p>
    <w:p>
      <w:r>
        <w:rPr>
          <w:rFonts w:ascii="Times New Roman" w:hAnsi="Times New Roman"/>
          <w:b w:val="0"/>
          <w:color w:val="FF0000"/>
          <w:sz w:val="24"/>
        </w:rPr>
        <w:t>3. Cỡ mẫu 501 — nhỏ cho thành phố Hà Nội (so với Hoa 2024: 3.910).</w:t>
      </w:r>
    </w:p>
    <w:p>
      <w:r>
        <w:rPr>
          <w:rFonts w:ascii="Times New Roman" w:hAnsi="Times New Roman"/>
          <w:b w:val="0"/>
          <w:color w:val="FF0000"/>
          <w:sz w:val="24"/>
        </w:rPr>
        <w:t>4. Khảo sát trực tuyến — thiên lệch tự chọn, HS có vấn đề SKTT có thể tham gia nhiều hơn.</w:t>
      </w:r>
    </w:p>
    <w:p>
      <w:r>
        <w:rPr>
          <w:rFonts w:ascii="Times New Roman" w:hAnsi="Times New Roman"/>
          <w:b w:val="0"/>
          <w:color w:val="FF0000"/>
          <w:sz w:val="24"/>
        </w:rPr>
        <w:t>5. Tạp chí YHCĐ — không lập chỉ mục quốc tế (PubMed/Scopus).</w:t>
      </w:r>
    </w:p>
    <w:p>
      <w:r>
        <w:rPr>
          <w:rFonts w:ascii="Times New Roman" w:hAnsi="Times New Roman"/>
          <w:b w:val="0"/>
          <w:color w:val="FF0000"/>
          <w:sz w:val="24"/>
        </w:rPr>
        <w:t>6. Chỉ dùng thống kê đơn biến (ANOVA, t-test, chi-square) + hồi quy — chưa rõ loại hồi quy.</w:t>
      </w:r>
    </w:p>
    <w:p>
      <w:r>
        <w:rPr>
          <w:rFonts w:ascii="Times New Roman" w:hAnsi="Times New Roman"/>
          <w:b/>
          <w:color w:val="FF0000"/>
          <w:sz w:val="24"/>
        </w:rPr>
        <w:t>Gap:</w:t>
      </w:r>
    </w:p>
    <w:p>
      <w:r>
        <w:rPr>
          <w:rFonts w:ascii="Times New Roman" w:hAnsi="Times New Roman"/>
          <w:b w:val="0"/>
          <w:color w:val="FF0000"/>
          <w:sz w:val="24"/>
        </w:rPr>
        <w:t>1. Cần tái lặp với cỡ mẫu lớn hơn, tỷ lệ giới cân bằng.</w:t>
      </w:r>
    </w:p>
    <w:p>
      <w:r>
        <w:rPr>
          <w:rFonts w:ascii="Times New Roman" w:hAnsi="Times New Roman"/>
          <w:b w:val="0"/>
          <w:color w:val="FF0000"/>
          <w:sz w:val="24"/>
        </w:rPr>
        <w:t>2. So sánh DASS-21 với GAD-7 hoặc DISC-5 trên cùng mẫu.</w:t>
      </w:r>
    </w:p>
    <w:p>
      <w:r>
        <w:rPr>
          <w:rFonts w:ascii="Times New Roman" w:hAnsi="Times New Roman"/>
          <w:b w:val="0"/>
          <w:color w:val="FF0000"/>
          <w:sz w:val="24"/>
        </w:rPr>
        <w:t>3. Nghiên cứu can thiệp tại trường THPT Hà Nội.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