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Norway mental distress trends 2011–2024</w:t>
      </w:r>
    </w:p>
    <w:p>
      <w:r>
        <w:rPr>
          <w:rFonts w:ascii="Times New Roman" w:hAnsi="Times New Roman"/>
          <w:b/>
          <w:color w:val="FF0000"/>
          <w:sz w:val="24"/>
        </w:rPr>
        <w:t>Tên công trình</w:t>
      </w:r>
    </w:p>
    <w:p>
      <w:r>
        <w:rPr>
          <w:rFonts w:ascii="Times New Roman" w:hAnsi="Times New Roman"/>
          <w:b w:val="0"/>
          <w:color w:val="0070C0"/>
          <w:sz w:val="24"/>
        </w:rPr>
        <w:t>Xu hướng tăng căng thẳng tâm thần ở VTN Na Uy 13 năm. Social Science &amp; Medicine, 2025 (Q1, IF≈5,4). 10 trang.</w:t>
      </w:r>
    </w:p>
    <w:p>
      <w:r>
        <w:rPr>
          <w:rFonts w:ascii="Times New Roman" w:hAnsi="Times New Roman"/>
          <w:b/>
          <w:color w:val="FF0000"/>
          <w:sz w:val="24"/>
        </w:rPr>
        <w:t>Phát hiện chính</w:t>
      </w:r>
    </w:p>
    <w:p>
      <w:r>
        <w:rPr>
          <w:rFonts w:ascii="Times New Roman" w:hAnsi="Times New Roman"/>
          <w:b w:val="0"/>
          <w:color w:val="0070C0"/>
          <w:sz w:val="24"/>
        </w:rPr>
        <w:t>Bất mãn trường học và mạng xã hội giải thích xu hướng tăng.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Xem bản dịch chi tiết trong thư mục 03_Ban-dich/.</w:t>
      </w:r>
    </w:p>
    <w:p>
      <w:r>
        <w:rPr>
          <w:rFonts w:ascii="Times New Roman" w:hAnsi="Times New Roman"/>
          <w:b/>
          <w:sz w:val="24"/>
        </w:rPr>
        <w:t>Đánh giá: ⭐⭐⭐⭐ Q1, xu hướng 13 năm, phân tích decomposition.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