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tắt: CBT interventions network meta-analysis (BMC Psychiatry)</w:t>
      </w:r>
    </w:p>
    <w:p>
      <w:r>
        <w:rPr>
          <w:rFonts w:ascii="Times New Roman" w:hAnsi="Times New Roman"/>
          <w:b/>
          <w:color w:val="FF0000"/>
          <w:sz w:val="24"/>
        </w:rPr>
        <w:t>Tên công trình</w:t>
      </w:r>
    </w:p>
    <w:p>
      <w:r>
        <w:rPr>
          <w:rFonts w:ascii="Times New Roman" w:hAnsi="Times New Roman"/>
          <w:b w:val="0"/>
          <w:color w:val="0070C0"/>
          <w:sz w:val="24"/>
        </w:rPr>
        <w:t>So sánh hiệu quả can thiệp lo âu trẻ em — 30 RCTs, 1.711 HS. BMC Psychiatry, 2025 (Q1, OA). 14 trang.</w:t>
      </w:r>
    </w:p>
    <w:p>
      <w:r>
        <w:rPr>
          <w:rFonts w:ascii="Times New Roman" w:hAnsi="Times New Roman"/>
          <w:b/>
          <w:color w:val="FF0000"/>
          <w:sz w:val="24"/>
        </w:rPr>
        <w:t>Phát hiện chính</w:t>
      </w:r>
    </w:p>
    <w:p>
      <w:r>
        <w:rPr>
          <w:rFonts w:ascii="Times New Roman" w:hAnsi="Times New Roman"/>
          <w:b w:val="0"/>
          <w:color w:val="0070C0"/>
          <w:sz w:val="24"/>
        </w:rPr>
        <w:t>Network meta-analysis Bayesian so sánh CBT, thuốc, kết hợp, tâm lý giáo dục.</w:t>
      </w:r>
    </w:p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b w:val="0"/>
          <w:color w:val="0070C0"/>
          <w:sz w:val="24"/>
        </w:rPr>
        <w:t>Xem bản dịch chi tiết trong thư mục 03_Ban-dich/.</w:t>
      </w:r>
    </w:p>
    <w:p>
      <w:r>
        <w:rPr>
          <w:rFonts w:ascii="Times New Roman" w:hAnsi="Times New Roman"/>
          <w:b/>
          <w:sz w:val="24"/>
        </w:rPr>
        <w:t>Đánh giá: ⭐⭐⭐⭐ BMC Q1, 30 RCTs, phương pháp nâng cao nhất.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