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Ngô Anh Vinh và cộng sự (2024)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</w:t>
      </w:r>
    </w:p>
    <w:p>
      <w:r>
        <w:rPr>
          <w:rFonts w:ascii="Times New Roman" w:hAnsi="Times New Roman"/>
          <w:b w:val="0"/>
          <w:color w:val="0070C0"/>
          <w:sz w:val="24"/>
        </w:rPr>
        <w:t>Sức khỏe tâm thần ở VTN dân tộc thiểu số tại Việt Nam — Lạng Sơn. J Affective Disorders Reports, 17:100795. 845 HS DTTS nội trú, DASS-21 + ACEs.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59,0%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54,4%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24,7%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ACEs (≥1)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48,9%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TB=1,1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SD=1,8</w:t>
            </w:r>
          </w:p>
        </w:tc>
      </w:tr>
    </w:tbl>
    <w:p/>
    <w:p>
      <w:r>
        <w:rPr>
          <w:rFonts w:ascii="Times New Roman" w:hAnsi="Times New Roman"/>
          <w:b/>
          <w:color w:val="FF0000"/>
          <w:sz w:val="24"/>
        </w:rPr>
        <w:t>Nhận xét</w:t>
      </w:r>
    </w:p>
    <w:p>
      <w:r>
        <w:rPr>
          <w:rFonts w:ascii="Times New Roman" w:hAnsi="Times New Roman"/>
          <w:b w:val="0"/>
          <w:color w:val="0070C0"/>
          <w:sz w:val="24"/>
        </w:rPr>
        <w:t>ACEs → lo âu Coef.=0,28. Bạn bè kém → trầm cảm OR=6,84. Sống ≥10 người bảo vệ OR=0,51.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Sức khỏe tâm thần ở VTN dân tộc thiểu số tại Việt Nam — Lạng Sơn. ACEs → lo âu Coef.=0,28. Bạn bè kém → trầm cảm OR=6,84. Sống ≥10 người bảo vệ OR=0,51....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Chỉ 1 tỉnh (Lạng Sơn). DASS-21 ngưỡng thấp. Không phân tích giới tính chi tiết.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Mở rộng nhiều tỉnh vùng cao. So sánh DTTS nội trú vs không nội trú. Can thiệp bạn bè.</w:t>
      </w:r>
    </w:p>
    <w:p>
      <w:r>
        <w:rPr>
          <w:rFonts w:ascii="Times New Roman" w:hAnsi="Times New Roman"/>
          <w:b/>
          <w:sz w:val="24"/>
        </w:rPr>
        <w:t>Đánh giá: ⭐⭐⭐ NC đầu tiên DTTS nội trú VN, DASS-21+ACEs, Elsevier OA.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