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color w:val="0070C0"/>
          <w:sz w:val="24"/>
        </w:rPr>
        <w:t>Tóm tắt: Nguyễn Ngọc Bảo Quyên và cộng sự (2025)</w:t>
      </w:r>
    </w:p>
    <w:p>
      <w:r>
        <w:rPr>
          <w:rFonts w:ascii="Times New Roman" w:hAnsi="Times New Roman"/>
          <w:b/>
          <w:color w:val="FF0000"/>
          <w:sz w:val="24"/>
        </w:rPr>
        <w:t>Tên công trình, tác giả, năm, mẫu khảo sát</w:t>
      </w:r>
    </w:p>
    <w:p>
      <w:r>
        <w:rPr>
          <w:rFonts w:ascii="Times New Roman" w:hAnsi="Times New Roman"/>
          <w:b w:val="0"/>
          <w:color w:val="0070C0"/>
          <w:sz w:val="24"/>
        </w:rPr>
        <w:t>Thực trạng SKTT HS THPT Hà Nội — trầm cảm, lo âu, căng thẳng. TC Y học Cộng đồng, 66, CD10, tr. 79–86. 501 HS, 8–12/2023, DASS-21.</w:t>
      </w:r>
    </w:p>
    <w:p>
      <w:r>
        <w:rPr>
          <w:rFonts w:ascii="Times New Roman" w:hAnsi="Times New Roman"/>
          <w:b/>
          <w:color w:val="FF0000"/>
          <w:sz w:val="24"/>
        </w:rPr>
        <w:t>Kết quả nghiên cứu định lượng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W w:w="1701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Tình trạng</w:t>
            </w:r>
          </w:p>
        </w:tc>
        <w:tc>
          <w:tcPr>
            <w:tcW w:type="dxa" w:w="2351"/>
            <w:tcW w:w="1701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Trong COVID / Tổng</w:t>
            </w:r>
          </w:p>
        </w:tc>
        <w:tc>
          <w:tcPr>
            <w:tcW w:type="dxa" w:w="2351"/>
            <w:tcW w:w="1701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Sau COVID / Chi tiết</w:t>
            </w:r>
          </w:p>
        </w:tc>
        <w:tc>
          <w:tcPr>
            <w:tcW w:type="dxa" w:w="2351"/>
            <w:tcW w:w="1417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Thay đổi / %</w:t>
            </w:r>
          </w:p>
        </w:tc>
      </w:tr>
      <w:tr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Trầm cảm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78,8%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Nặng+RN</w:t>
            </w:r>
          </w:p>
        </w:tc>
        <w:tc>
          <w:tcPr>
            <w:tcW w:type="dxa" w:w="2351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33,2%</w:t>
            </w:r>
          </w:p>
        </w:tc>
      </w:tr>
      <w:tr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Lo âu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86,2%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Nặng+RN</w:t>
            </w:r>
          </w:p>
        </w:tc>
        <w:tc>
          <w:tcPr>
            <w:tcW w:type="dxa" w:w="2351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54,5%</w:t>
            </w:r>
          </w:p>
        </w:tc>
      </w:tr>
      <w:tr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Căng thẳng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76,6%</w:t>
            </w:r>
          </w:p>
        </w:tc>
        <w:tc>
          <w:tcPr>
            <w:tcW w:type="dxa" w:w="2351"/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Nặng+RN</w:t>
            </w:r>
          </w:p>
        </w:tc>
        <w:tc>
          <w:tcPr>
            <w:tcW w:type="dxa" w:w="2351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38,3%</w:t>
            </w:r>
          </w:p>
        </w:tc>
      </w:tr>
    </w:tbl>
    <w:p/>
    <w:p>
      <w:r>
        <w:rPr>
          <w:rFonts w:ascii="Times New Roman" w:hAnsi="Times New Roman"/>
          <w:b/>
          <w:color w:val="FF0000"/>
          <w:sz w:val="24"/>
        </w:rPr>
        <w:t>Nhận xét</w:t>
      </w:r>
    </w:p>
    <w:p>
      <w:r>
        <w:rPr>
          <w:rFonts w:ascii="Times New Roman" w:hAnsi="Times New Roman"/>
          <w:b w:val="0"/>
          <w:color w:val="0070C0"/>
          <w:sz w:val="24"/>
        </w:rPr>
        <w:t>Nữ &gt; nam p&lt;0,05 cả 3 chỉ số. Khối lớp và loại trường không ý nghĩa.</w:t>
      </w:r>
    </w:p>
    <w:p>
      <w:r>
        <w:rPr>
          <w:rFonts w:ascii="Times New Roman" w:hAnsi="Times New Roman"/>
          <w:b/>
          <w:color w:val="FF0000"/>
          <w:sz w:val="24"/>
        </w:rPr>
        <w:t>Kết luận</w:t>
      </w:r>
    </w:p>
    <w:p>
      <w:r>
        <w:rPr>
          <w:rFonts w:ascii="Times New Roman" w:hAnsi="Times New Roman"/>
          <w:b/>
          <w:color w:val="0070C0"/>
          <w:sz w:val="24"/>
        </w:rPr>
        <w:t>Thực trạng SKTT HS THPT Hà Nội — trầm cảm, lo âu, căng thẳng. Nữ &gt; nam p&lt;0,05 cả 3 chỉ số. Khối lớp và loại trường không ý nghĩa....</w:t>
      </w:r>
    </w:p>
    <w:p>
      <w:pPr>
        <w:pStyle w:val="Heading2"/>
      </w:pPr>
      <w:r>
        <w:rPr>
          <w:rFonts w:ascii="Times New Roman" w:hAnsi="Times New Roman"/>
          <w:color w:val="FF0000"/>
        </w:rPr>
        <w:t>Phản biện</w:t>
      </w:r>
    </w:p>
    <w:p>
      <w:r>
        <w:rPr>
          <w:rFonts w:ascii="Times New Roman" w:hAnsi="Times New Roman"/>
          <w:b w:val="0"/>
          <w:color w:val="0070C0"/>
          <w:sz w:val="24"/>
        </w:rPr>
        <w:t>Lo âu 86,2% CỰC CAO — ngưỡng DASS thấp. Nữ 78% mẫu — thiên lệch. Online survey. n=501 nhỏ.</w:t>
      </w:r>
    </w:p>
    <w:p>
      <w:pPr>
        <w:pStyle w:val="Heading2"/>
      </w:pPr>
      <w:r>
        <w:rPr>
          <w:rFonts w:ascii="Times New Roman" w:hAnsi="Times New Roman"/>
          <w:color w:val="FF0000"/>
        </w:rPr>
        <w:t>Hướng nghiên cứu tiếp theo</w:t>
      </w:r>
    </w:p>
    <w:p>
      <w:r>
        <w:rPr>
          <w:rFonts w:ascii="Times New Roman" w:hAnsi="Times New Roman"/>
          <w:b w:val="0"/>
          <w:color w:val="0070C0"/>
          <w:sz w:val="24"/>
        </w:rPr>
        <w:t>Cỡ mẫu lớn hơn, tỷ lệ giới cân bằng. So DASS vs GAD-7 cùng mẫu.</w:t>
      </w:r>
    </w:p>
    <w:p>
      <w:r>
        <w:rPr>
          <w:rFonts w:ascii="Times New Roman" w:hAnsi="Times New Roman"/>
          <w:b/>
          <w:sz w:val="24"/>
        </w:rPr>
        <w:t>Đánh giá: ⭐⭐ Đề tài thời sự nhưng tỷ lệ cao bất thường, thiên lệch giới và tự chọn.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