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Nguyễn Danh Lâm và cộng sự (2022)</w:t>
      </w:r>
    </w:p>
    <w:p>
      <w:r>
        <w:rPr>
          <w:rFonts w:ascii="Times New Roman" w:hAnsi="Times New Roman"/>
          <w:b/>
          <w:color w:val="FF0000"/>
          <w:sz w:val="24"/>
        </w:rPr>
        <w:t>Tên công trình, tác giả, năm, mẫu khảo sát</w:t>
      </w:r>
    </w:p>
    <w:p>
      <w:r>
        <w:rPr>
          <w:rFonts w:ascii="Times New Roman" w:hAnsi="Times New Roman"/>
          <w:b w:val="0"/>
          <w:color w:val="0070C0"/>
          <w:sz w:val="24"/>
        </w:rPr>
        <w:t>Stress, lo âu, trầm cảm HS THPT Yên Định, Thanh Hóa. TC Y học Việt Nam, 516(1), tr. 67–70. 482 HS, 9/2021, DASS-21.</w:t>
      </w:r>
    </w:p>
    <w:p>
      <w:r>
        <w:rPr>
          <w:rFonts w:ascii="Times New Roman" w:hAnsi="Times New Roman"/>
          <w:b/>
          <w:color w:val="FF0000"/>
          <w:sz w:val="24"/>
        </w:rPr>
        <w:t>Kết quả nghiên cứu định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41,7%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49,0%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43,6%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làm đau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10,0%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Nghĩ tự tử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23,6%</w:t>
            </w:r>
          </w:p>
        </w:tc>
      </w:tr>
    </w:tbl>
    <w:p/>
    <w:p>
      <w:r>
        <w:rPr>
          <w:rFonts w:ascii="Times New Roman" w:hAnsi="Times New Roman"/>
          <w:b/>
          <w:color w:val="FF0000"/>
          <w:sz w:val="24"/>
        </w:rPr>
        <w:t>Nhận xét</w:t>
      </w:r>
    </w:p>
    <w:p>
      <w:r>
        <w:rPr>
          <w:rFonts w:ascii="Times New Roman" w:hAnsi="Times New Roman"/>
          <w:b w:val="0"/>
          <w:color w:val="0070C0"/>
          <w:sz w:val="24"/>
        </w:rPr>
        <w:t>Tự hại 10%, cố tự tử 1,4% — đáng báo động. Chủ yếu mức nhẹ-vừa.</w:t>
      </w:r>
    </w:p>
    <w:p>
      <w:r>
        <w:rPr>
          <w:rFonts w:ascii="Times New Roman" w:hAnsi="Times New Roman"/>
          <w:b/>
          <w:color w:val="FF0000"/>
          <w:sz w:val="24"/>
        </w:rPr>
        <w:t>Kết luận</w:t>
      </w:r>
    </w:p>
    <w:p>
      <w:r>
        <w:rPr>
          <w:rFonts w:ascii="Times New Roman" w:hAnsi="Times New Roman"/>
          <w:b/>
          <w:color w:val="0070C0"/>
          <w:sz w:val="24"/>
        </w:rPr>
        <w:t>Stress, lo âu, trầm cảm HS THPT Yên Định, Thanh Hóa. Tự hại 10%, cố tự tử 1,4% — đáng báo động. Chủ yếu mức nhẹ-vừa....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Chọn mẫu có chủ đích (2 trường). Chỉ mô tả, không hồi quy. Bài 4 trang.</w:t>
      </w:r>
    </w:p>
    <w:p>
      <w:pPr>
        <w:pStyle w:val="Heading2"/>
      </w:pPr>
      <w:r>
        <w:rPr>
          <w:rFonts w:ascii="Times New Roman" w:hAnsi="Times New Roman"/>
          <w:color w:val="FF0000"/>
        </w:rPr>
        <w:t>Hướng nghiên cứu tiếp theo</w:t>
      </w:r>
    </w:p>
    <w:p>
      <w:r>
        <w:rPr>
          <w:rFonts w:ascii="Times New Roman" w:hAnsi="Times New Roman"/>
          <w:b w:val="0"/>
          <w:color w:val="0070C0"/>
          <w:sz w:val="24"/>
        </w:rPr>
        <w:t>Phân tích yếu tố nguy cơ (hồi quy). Can thiệp giảm tự hại.</w:t>
      </w:r>
    </w:p>
    <w:p>
      <w:r>
        <w:rPr>
          <w:rFonts w:ascii="Times New Roman" w:hAnsi="Times New Roman"/>
          <w:b/>
          <w:sz w:val="24"/>
        </w:rPr>
        <w:t>Đánh giá: ⭐⭐ Vùng bán đô thị, dữ liệu tự hại quan trọng nhưng bài quá ngắn.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