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color w:val="0070C0"/>
          <w:sz w:val="24"/>
        </w:rPr>
        <w:t>Tóm tắt: Lê Minh T., Nguyễn Đăng K., Ngô Anh V. (2025)</w:t>
      </w:r>
    </w:p>
    <w:p>
      <w:r>
        <w:rPr>
          <w:rFonts w:ascii="Times New Roman" w:hAnsi="Times New Roman"/>
          <w:b/>
          <w:color w:val="FF0000"/>
          <w:sz w:val="24"/>
        </w:rPr>
        <w:t>Tên công trình, tác giả, năm, mẫu khảo sát</w:t>
      </w:r>
    </w:p>
    <w:p>
      <w:r>
        <w:rPr>
          <w:rFonts w:ascii="Times New Roman" w:hAnsi="Times New Roman"/>
          <w:b w:val="0"/>
          <w:color w:val="0070C0"/>
          <w:sz w:val="24"/>
        </w:rPr>
        <w:t>Sàng lọc lo âu, trầm cảm, stress HS THPT Long Bình, An Giang. TC Y học Việt Nam, 549(1), tr. 32–35. 366 HS, 6/2024, DASS-21.</w:t>
      </w:r>
    </w:p>
    <w:p>
      <w:r>
        <w:rPr>
          <w:rFonts w:ascii="Times New Roman" w:hAnsi="Times New Roman"/>
          <w:b/>
          <w:color w:val="FF0000"/>
          <w:sz w:val="24"/>
        </w:rPr>
        <w:t>Kết quả nghiên cứu định lượng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W w:w="1984" w:type="dxa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Tình trạng</w:t>
            </w:r>
          </w:p>
        </w:tc>
        <w:tc>
          <w:tcPr>
            <w:tcW w:type="dxa" w:w="2351"/>
            <w:tcW w:w="1417" w:type="dxa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Tỷ lệ</w:t>
            </w:r>
          </w:p>
        </w:tc>
        <w:tc>
          <w:tcPr>
            <w:tcW w:type="dxa" w:w="2351"/>
            <w:tcW w:w="1417" w:type="dxa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</w:r>
          </w:p>
        </w:tc>
        <w:tc>
          <w:tcPr>
            <w:tcW w:type="dxa" w:w="2351"/>
            <w:tcW w:w="1417" w:type="dxa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</w:r>
          </w:p>
        </w:tc>
      </w:tr>
      <w:tr>
        <w:tc>
          <w:tcPr>
            <w:tcW w:type="dxa" w:w="2351"/>
            <w:tcW w:w="1984" w:type="dxa"/>
          </w:tcPr>
          <w:p>
            <w:r>
              <w:rPr>
                <w:rFonts w:ascii="Times New Roman" w:hAnsi="Times New Roman"/>
                <w:sz w:val="20"/>
              </w:rPr>
              <w:t>Lo âu</w:t>
            </w:r>
          </w:p>
        </w:tc>
        <w:tc>
          <w:tcPr>
            <w:tcW w:type="dxa" w:w="2351"/>
            <w:tcW w:w="1417" w:type="dxa"/>
          </w:tcPr>
          <w:p>
            <w:r>
              <w:rPr>
                <w:rFonts w:ascii="Times New Roman" w:hAnsi="Times New Roman"/>
                <w:sz w:val="20"/>
              </w:rPr>
              <w:t>61,2%</w:t>
            </w:r>
          </w:p>
        </w:tc>
        <w:tc>
          <w:tcPr>
            <w:tcW w:type="dxa" w:w="2351"/>
            <w:tcW w:w="1417" w:type="dxa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351"/>
            <w:tcW w:w="1417" w:type="dxa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351"/>
            <w:tcW w:w="1984" w:type="dxa"/>
          </w:tcPr>
          <w:p>
            <w:r>
              <w:rPr>
                <w:rFonts w:ascii="Times New Roman" w:hAnsi="Times New Roman"/>
                <w:sz w:val="20"/>
              </w:rPr>
              <w:t>Trầm cảm</w:t>
            </w:r>
          </w:p>
        </w:tc>
        <w:tc>
          <w:tcPr>
            <w:tcW w:type="dxa" w:w="2351"/>
            <w:tcW w:w="1417" w:type="dxa"/>
          </w:tcPr>
          <w:p>
            <w:r>
              <w:rPr>
                <w:rFonts w:ascii="Times New Roman" w:hAnsi="Times New Roman"/>
                <w:sz w:val="20"/>
              </w:rPr>
              <w:t>47,3%</w:t>
            </w:r>
          </w:p>
        </w:tc>
        <w:tc>
          <w:tcPr>
            <w:tcW w:type="dxa" w:w="2351"/>
            <w:tcW w:w="1417" w:type="dxa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351"/>
            <w:tcW w:w="1417" w:type="dxa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351"/>
            <w:tcW w:w="1984" w:type="dxa"/>
          </w:tcPr>
          <w:p>
            <w:r>
              <w:rPr>
                <w:rFonts w:ascii="Times New Roman" w:hAnsi="Times New Roman"/>
                <w:sz w:val="20"/>
              </w:rPr>
              <w:t>Stress</w:t>
            </w:r>
          </w:p>
        </w:tc>
        <w:tc>
          <w:tcPr>
            <w:tcW w:type="dxa" w:w="2351"/>
            <w:tcW w:w="1417" w:type="dxa"/>
          </w:tcPr>
          <w:p>
            <w:r>
              <w:rPr>
                <w:rFonts w:ascii="Times New Roman" w:hAnsi="Times New Roman"/>
                <w:sz w:val="20"/>
              </w:rPr>
              <w:t>38,0%</w:t>
            </w:r>
          </w:p>
        </w:tc>
        <w:tc>
          <w:tcPr>
            <w:tcW w:type="dxa" w:w="2351"/>
            <w:tcW w:w="1417" w:type="dxa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351"/>
            <w:tcW w:w="1417" w:type="dxa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351"/>
            <w:tcW w:w="1984" w:type="dxa"/>
          </w:tcPr>
          <w:p>
            <w:r>
              <w:rPr>
                <w:rFonts w:ascii="Times New Roman" w:hAnsi="Times New Roman"/>
                <w:sz w:val="20"/>
              </w:rPr>
              <w:t>Đồng mắc cả 3</w:t>
            </w:r>
          </w:p>
        </w:tc>
        <w:tc>
          <w:tcPr>
            <w:tcW w:type="dxa" w:w="2351"/>
            <w:tcW w:w="1417" w:type="dxa"/>
          </w:tcPr>
          <w:p>
            <w:r>
              <w:rPr>
                <w:rFonts w:ascii="Times New Roman" w:hAnsi="Times New Roman"/>
                <w:sz w:val="20"/>
              </w:rPr>
              <w:t>27,3%</w:t>
            </w:r>
          </w:p>
        </w:tc>
        <w:tc>
          <w:tcPr>
            <w:tcW w:type="dxa" w:w="2351"/>
            <w:tcW w:w="1417" w:type="dxa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351"/>
            <w:tcW w:w="1417" w:type="dxa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</w:tbl>
    <w:p/>
    <w:p>
      <w:r>
        <w:rPr>
          <w:rFonts w:ascii="Times New Roman" w:hAnsi="Times New Roman"/>
          <w:b/>
          <w:color w:val="FF0000"/>
          <w:sz w:val="24"/>
        </w:rPr>
        <w:t>Nhận xét</w:t>
      </w:r>
    </w:p>
    <w:p>
      <w:r>
        <w:rPr>
          <w:rFonts w:ascii="Times New Roman" w:hAnsi="Times New Roman"/>
          <w:b w:val="0"/>
          <w:color w:val="0070C0"/>
          <w:sz w:val="24"/>
        </w:rPr>
        <w:t>Nam/nữ cân bằng (50,5/49,5%). 27,3% đồng mắc cả 3 triệu chứng.</w:t>
      </w:r>
    </w:p>
    <w:p>
      <w:r>
        <w:rPr>
          <w:rFonts w:ascii="Times New Roman" w:hAnsi="Times New Roman"/>
          <w:b/>
          <w:color w:val="FF0000"/>
          <w:sz w:val="24"/>
        </w:rPr>
        <w:t>Kết luận</w:t>
      </w:r>
    </w:p>
    <w:p>
      <w:r>
        <w:rPr>
          <w:rFonts w:ascii="Times New Roman" w:hAnsi="Times New Roman"/>
          <w:b/>
          <w:color w:val="0070C0"/>
          <w:sz w:val="24"/>
        </w:rPr>
        <w:t>Sàng lọc lo âu, trầm cảm, stress HS THPT Long Bình, An Giang. Nam/nữ cân bằng (50,5/49,5%). 27,3% đồng mắc cả 3 triệu chứng....</w:t>
      </w:r>
    </w:p>
    <w:p>
      <w:pPr>
        <w:pStyle w:val="Heading2"/>
      </w:pPr>
      <w:r>
        <w:rPr>
          <w:rFonts w:ascii="Times New Roman" w:hAnsi="Times New Roman"/>
          <w:color w:val="FF0000"/>
        </w:rPr>
        <w:t>Phản biện</w:t>
      </w:r>
    </w:p>
    <w:p>
      <w:r>
        <w:rPr>
          <w:rFonts w:ascii="Times New Roman" w:hAnsi="Times New Roman"/>
          <w:b w:val="0"/>
          <w:color w:val="0070C0"/>
          <w:sz w:val="24"/>
        </w:rPr>
        <w:t>1 trường duy nhất. Chỉ mô tả. Bài ngắn.</w:t>
      </w:r>
    </w:p>
    <w:p>
      <w:pPr>
        <w:pStyle w:val="Heading2"/>
      </w:pPr>
      <w:r>
        <w:rPr>
          <w:rFonts w:ascii="Times New Roman" w:hAnsi="Times New Roman"/>
          <w:color w:val="FF0000"/>
        </w:rPr>
        <w:t>Hướng nghiên cứu tiếp theo</w:t>
      </w:r>
    </w:p>
    <w:p>
      <w:r>
        <w:rPr>
          <w:rFonts w:ascii="Times New Roman" w:hAnsi="Times New Roman"/>
          <w:b w:val="0"/>
          <w:color w:val="0070C0"/>
          <w:sz w:val="24"/>
        </w:rPr>
        <w:t>Mở rộng ĐBSCL. Phân tích hồi quy. So sánh ĐBSCL vs đô thị.</w:t>
      </w:r>
    </w:p>
    <w:p>
      <w:r>
        <w:rPr>
          <w:rFonts w:ascii="Times New Roman" w:hAnsi="Times New Roman"/>
          <w:b/>
          <w:sz w:val="24"/>
        </w:rPr>
        <w:t>Đánh giá: ⭐⭐ Vùng ĐBSCL ít NC, giới cân bằng, nhưng 1 trường và chỉ mô tả.</w:t>
      </w:r>
    </w:p>
    <w:sectPr w:rsidR="00FC693F" w:rsidRPr="0006063C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