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color w:val="0000FF"/>
          <w:sz w:val="20"/>
        </w:rPr>
        <w:t>Link bài báo gốc: https://doi.org/10.1016/S2772-3682(25)00003-4</w:t>
      </w:r>
    </w:p>
    <w:p>
      <w:r>
        <w:drawing>
          <wp:inline xmlns:a="http://schemas.openxmlformats.org/drawingml/2006/main" xmlns:pic="http://schemas.openxmlformats.org/drawingml/2006/picture">
            <wp:extent cx="1080000" cy="1080000"/>
            <wp:docPr id="1" name="Picture 1"/>
            <wp:cNvGraphicFramePr>
              <a:graphicFrameLocks noChangeAspect="1"/>
            </wp:cNvGraphicFramePr>
            <a:graphic>
              <a:graphicData uri="http://schemas.openxmlformats.org/drawingml/2006/picture">
                <pic:pic>
                  <pic:nvPicPr>
                    <pic:cNvPr id="0" name="QR_Hoa2024.png"/>
                    <pic:cNvPicPr/>
                  </pic:nvPicPr>
                  <pic:blipFill>
                    <a:blip r:embed="rId9"/>
                    <a:stretch>
                      <a:fillRect/>
                    </a:stretch>
                  </pic:blipFill>
                  <pic:spPr>
                    <a:xfrm>
                      <a:off x="0" y="0"/>
                      <a:ext cx="1080000" cy="1080000"/>
                    </a:xfrm>
                    <a:prstGeom prst="rect"/>
                  </pic:spPr>
                </pic:pic>
              </a:graphicData>
            </a:graphic>
          </wp:inline>
        </w:drawing>
      </w:r>
    </w:p>
    <w:p>
      <w:r>
        <w:rPr>
          <w:rFonts w:ascii="Times New Roman" w:hAnsi="Times New Roman"/>
          <w:i/>
          <w:sz w:val="18"/>
        </w:rPr>
        <w:t>Quét QR để truy cập bài báo gốc</w:t>
      </w:r>
    </w:p>
    <w:p/>
    <w:p>
      <w:pPr>
        <w:pStyle w:val="Heading1"/>
      </w:pPr>
      <w:r>
        <w:rPr>
          <w:rFonts w:ascii="Times New Roman" w:hAnsi="Times New Roman"/>
          <w:color w:val="000000"/>
        </w:rPr>
        <w:t>Bản chất, tỷ lệ hiện mắc và các yếu tố quyết định của các vấn đề sức khỏe tâm thần ở vị thành niên Nam Á: Tổng quan hệ thống</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Tiêu đề gốc</w:t>
            </w:r>
          </w:p>
        </w:tc>
        <w:tc>
          <w:tcPr>
            <w:tcW w:type="dxa" w:w="4702"/>
            <w:tcW w:w="7087" w:type="dxa"/>
          </w:tcPr>
          <w:p>
            <w:r>
              <w:rPr>
                <w:rFonts w:ascii="Times New Roman" w:hAnsi="Times New Roman"/>
                <w:sz w:val="20"/>
              </w:rPr>
              <w:t>Nature, prevalence and determinants of mental health problems experienced by adolescents in south Asia: a systematic review</w:t>
            </w:r>
          </w:p>
        </w:tc>
      </w:tr>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Chethana Mudunna, Medhavi Weerasinghe, Thach Tran, Josefine Antoniades, Lorena Romero, Miyuru Chandradasa, Jane Fisher</w:t>
            </w:r>
          </w:p>
        </w:tc>
      </w:tr>
      <w:tr>
        <w:tc>
          <w:tcPr>
            <w:tcW w:type="dxa" w:w="4702"/>
            <w:tcW w:w="1984" w:type="dxa"/>
            <w:shd w:fill="D9E2F3" w:val="clear"/>
          </w:tcPr>
          <w:p>
            <w:r>
              <w:rPr>
                <w:rFonts w:ascii="Times New Roman" w:hAnsi="Times New Roman"/>
                <w:b/>
                <w:sz w:val="20"/>
              </w:rPr>
              <w:t>Cơ quan</w:t>
            </w:r>
          </w:p>
        </w:tc>
        <w:tc>
          <w:tcPr>
            <w:tcW w:type="dxa" w:w="4702"/>
            <w:tcW w:w="7087" w:type="dxa"/>
          </w:tcPr>
          <w:p>
            <w:r>
              <w:rPr>
                <w:rFonts w:ascii="Times New Roman" w:hAnsi="Times New Roman"/>
                <w:sz w:val="20"/>
              </w:rPr>
              <w:t>Monash University (Úc), La Trobe University, Alfred Health, University of Kelaniya (Sri Lanka)</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The Lancet Regional Health — Southeast Asia, 2025</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10.1016/S2772-3682(25)00003-4</w:t>
            </w:r>
          </w:p>
        </w:tc>
      </w:tr>
      <w:tr>
        <w:tc>
          <w:tcPr>
            <w:tcW w:type="dxa" w:w="4702"/>
            <w:tcW w:w="1984" w:type="dxa"/>
            <w:shd w:fill="D9E2F3" w:val="clear"/>
          </w:tcPr>
          <w:p>
            <w:r>
              <w:rPr>
                <w:rFonts w:ascii="Times New Roman" w:hAnsi="Times New Roman"/>
                <w:b/>
                <w:sz w:val="20"/>
              </w:rPr>
              <w:t>Phạm vi</w:t>
            </w:r>
          </w:p>
        </w:tc>
        <w:tc>
          <w:tcPr>
            <w:tcW w:type="dxa" w:w="4702"/>
            <w:tcW w:w="7087" w:type="dxa"/>
          </w:tcPr>
          <w:p>
            <w:r>
              <w:rPr>
                <w:rFonts w:ascii="Times New Roman" w:hAnsi="Times New Roman"/>
                <w:sz w:val="20"/>
              </w:rPr>
              <w:t>Tổng quan hệ thống (Systematic Review) — 8 quốc gia Nam Á: Afghanistan, Bangladesh, Bhutan, Ấn Độ, Maldives, Nepal, Pakistan, Sri Lanka</w:t>
            </w:r>
          </w:p>
        </w:tc>
      </w:tr>
      <w:tr>
        <w:tc>
          <w:tcPr>
            <w:tcW w:type="dxa" w:w="4702"/>
            <w:tcW w:w="1984" w:type="dxa"/>
            <w:shd w:fill="D9E2F3" w:val="clear"/>
          </w:tcPr>
          <w:p>
            <w:r>
              <w:rPr>
                <w:rFonts w:ascii="Times New Roman" w:hAnsi="Times New Roman"/>
                <w:b/>
                <w:sz w:val="20"/>
              </w:rPr>
              <w:t>Đối tượng</w:t>
            </w:r>
          </w:p>
        </w:tc>
        <w:tc>
          <w:tcPr>
            <w:tcW w:type="dxa" w:w="4702"/>
            <w:tcW w:w="7087" w:type="dxa"/>
          </w:tcPr>
          <w:p>
            <w:r>
              <w:rPr>
                <w:rFonts w:ascii="Times New Roman" w:hAnsi="Times New Roman"/>
                <w:sz w:val="20"/>
              </w:rPr>
              <w:t>Vị thành niên (VTN) 10–19 tuổi tại Nam Á</w:t>
            </w:r>
          </w:p>
        </w:tc>
      </w:tr>
      <w:tr>
        <w:tc>
          <w:tcPr>
            <w:tcW w:type="dxa" w:w="4702"/>
            <w:tcW w:w="1984" w:type="dxa"/>
            <w:shd w:fill="D9E2F3" w:val="clear"/>
          </w:tcPr>
          <w:p>
            <w:r>
              <w:rPr>
                <w:rFonts w:ascii="Times New Roman" w:hAnsi="Times New Roman"/>
                <w:b/>
                <w:sz w:val="20"/>
              </w:rPr>
              <w:t>Thiết kế</w:t>
            </w:r>
          </w:p>
        </w:tc>
        <w:tc>
          <w:tcPr>
            <w:tcW w:type="dxa" w:w="4702"/>
            <w:tcW w:w="7087" w:type="dxa"/>
          </w:tcPr>
          <w:p>
            <w:r>
              <w:rPr>
                <w:rFonts w:ascii="Times New Roman" w:hAnsi="Times New Roman"/>
                <w:sz w:val="20"/>
              </w:rPr>
              <w:t>Tổng quan hệ thống theo PRISMA (Preferred Reporting Items for Systematic Reviews and Meta-Analyses)</w:t>
            </w:r>
          </w:p>
        </w:tc>
      </w:tr>
    </w:tbl>
    <w:p/>
    <w:p>
      <w:r>
        <w:rPr>
          <w:rFonts w:ascii="Times New Roman" w:hAnsi="Times New Roman"/>
          <w:i/>
          <w:color w:val="808080"/>
          <w:sz w:val="18"/>
        </w:rPr>
        <w:t>--- Trang 1, Lancet Regional Health — SEA, 2025 ---</w:t>
      </w:r>
    </w:p>
    <w:p>
      <w:pPr>
        <w:pStyle w:val="Heading2"/>
      </w:pPr>
      <w:r>
        <w:rPr>
          <w:rFonts w:ascii="Times New Roman" w:hAnsi="Times New Roman"/>
          <w:color w:val="000000"/>
        </w:rPr>
        <w:t>TÓM TẮT</w:t>
      </w:r>
    </w:p>
    <w:p>
      <w:r>
        <w:rPr>
          <w:rFonts w:ascii="Times New Roman" w:hAnsi="Times New Roman"/>
          <w:b w:val="0"/>
          <w:i w:val="0"/>
          <w:sz w:val="24"/>
        </w:rPr>
        <w:t>Bối cảnh: Vị thành niên (VTN — 10–19 tuổi) là giai đoạn nhạy cảm đặc biệt với các vấn đề sức khỏe tâm thần (SKTT). Nam Á, nơi sinh sống của 24% dân số thế giới, chủ yếu gồm các nước thu nhập thấp và trung bình (LMIC). Tổng quan hệ thống này đánh giá bản chất, tỷ lệ và các yếu tố quyết định của các vấn đề SKTT ở VTN Nam Á.</w:t>
      </w:r>
    </w:p>
    <w:p>
      <w:r>
        <w:rPr>
          <w:rFonts w:ascii="Times New Roman" w:hAnsi="Times New Roman"/>
          <w:b w:val="0"/>
          <w:i w:val="0"/>
          <w:sz w:val="24"/>
        </w:rPr>
        <w:t>Phương pháp: Tìm kiếm có hệ thống trên MEDLINE, PsycINFO, Embase, CINAHL, Global Health theo hướng dẫn PRISMA. Tỷ lệ hiện mắc dao động rất lớn: 1,5–81,6% tùy phương pháp và quốc gia.</w:t>
      </w:r>
    </w:p>
    <w:p>
      <w:r>
        <w:rPr>
          <w:rFonts w:ascii="Times New Roman" w:hAnsi="Times New Roman"/>
          <w:b w:val="0"/>
          <w:i w:val="0"/>
          <w:sz w:val="24"/>
        </w:rPr>
        <w:t>Kết quả: Trầm cảm và lo âu là phổ biến nhất. Các yếu tố quyết định bao gồm: giới tính nữ, nghèo đói, bạo lực gia đình, bắt nạt, mất cha mẹ, thiếu hỗ trợ xã hội, và áp lực học tập. Đặc biệt, kỳ thị SKTT và rào cản văn hóa cản trở tiếp cận dịch vụ.</w:t>
      </w:r>
    </w:p>
    <w:p>
      <w:r>
        <w:rPr>
          <w:rFonts w:ascii="Times New Roman" w:hAnsi="Times New Roman"/>
          <w:b w:val="0"/>
          <w:i w:val="0"/>
          <w:sz w:val="24"/>
        </w:rPr>
        <w:t>Kết luận: Cần nghiên cứu chất lượng cao hơn với phương pháp chuẩn hóa tại Nam Á. Chính sách SKTT cần tích hợp yếu tố xã hội và văn hóa đặc thù của khu vực.</w:t>
      </w:r>
    </w:p>
    <w:p>
      <w:pPr>
        <w:pStyle w:val="Heading2"/>
      </w:pPr>
      <w:r>
        <w:rPr>
          <w:rFonts w:ascii="Times New Roman" w:hAnsi="Times New Roman"/>
          <w:color w:val="000000"/>
        </w:rPr>
        <w:t>TÓM TẮT ĐÁNH GIÁ NHANH</w:t>
      </w:r>
    </w:p>
    <w:p>
      <w:r>
        <w:rPr>
          <w:rFonts w:ascii="Times New Roman" w:hAnsi="Times New Roman"/>
          <w:b/>
          <w:i w:val="0"/>
          <w:sz w:val="24"/>
        </w:rPr>
        <w:t>Điểm nổi bật:</w:t>
      </w:r>
    </w:p>
    <w:p>
      <w:r>
        <w:rPr>
          <w:rFonts w:ascii="Times New Roman" w:hAnsi="Times New Roman"/>
          <w:b w:val="0"/>
          <w:i w:val="0"/>
          <w:sz w:val="22"/>
        </w:rPr>
        <w:t>• Tổng quan hệ thống đầu tiên tập trung vào VTN Nam Á — khu vực chiếm 24% dân số thế giới nhưng ít được nghiên cứu (WHO, 2022).</w:t>
      </w:r>
    </w:p>
    <w:p>
      <w:r>
        <w:rPr>
          <w:rFonts w:ascii="Times New Roman" w:hAnsi="Times New Roman"/>
          <w:b w:val="0"/>
          <w:i w:val="0"/>
          <w:sz w:val="22"/>
        </w:rPr>
        <w:t>• Đăng trên Lancet Regional Health — tạp chí uy tín cao (GBD 2021 ASEAN Collaborators, 2025).</w:t>
      </w:r>
    </w:p>
    <w:p>
      <w:r>
        <w:rPr>
          <w:rFonts w:ascii="Times New Roman" w:hAnsi="Times New Roman"/>
          <w:b w:val="0"/>
          <w:i w:val="0"/>
          <w:sz w:val="22"/>
        </w:rPr>
        <w:t>• Bao phủ 8 quốc gia với đa dạng văn hóa, tôn giáo, kinh tế (Polanczyk và cộng sự, 2015).</w:t>
      </w:r>
    </w:p>
    <w:p>
      <w:r>
        <w:rPr>
          <w:rFonts w:ascii="Times New Roman" w:hAnsi="Times New Roman"/>
          <w:b w:val="0"/>
          <w:i w:val="0"/>
          <w:sz w:val="22"/>
        </w:rPr>
        <w:t>• Xác định rõ khoảng trống: tỷ lệ dao động 1,5–81,6% do thiếu chuẩn hóa phương pháp.</w:t>
      </w:r>
    </w:p>
    <w:p>
      <w:r>
        <w:rPr>
          <w:rFonts w:ascii="Times New Roman" w:hAnsi="Times New Roman"/>
          <w:b/>
          <w:i w:val="0"/>
          <w:sz w:val="24"/>
        </w:rPr>
        <w:t>Hạn chế:</w:t>
      </w:r>
    </w:p>
    <w:p>
      <w:r>
        <w:rPr>
          <w:rFonts w:ascii="Times New Roman" w:hAnsi="Times New Roman"/>
          <w:b w:val="0"/>
          <w:i w:val="0"/>
          <w:sz w:val="22"/>
        </w:rPr>
        <w:t>• Không có meta-analysis do tính không đồng nhất quá cao giữa các nghiên cứu (Higgins và cộng sự, 2003).</w:t>
      </w:r>
    </w:p>
    <w:p>
      <w:r>
        <w:rPr>
          <w:rFonts w:ascii="Times New Roman" w:hAnsi="Times New Roman"/>
          <w:b w:val="0"/>
          <w:i w:val="0"/>
          <w:sz w:val="22"/>
        </w:rPr>
        <w:t>• Phần lớn nghiên cứu từ Ấn Độ — thiếu dữ liệu từ Afghanistan, Bhutan, Maldives (Samuels và cộng sự, 2018).</w:t>
      </w:r>
    </w:p>
    <w:p>
      <w:r>
        <w:rPr>
          <w:rFonts w:ascii="Times New Roman" w:hAnsi="Times New Roman"/>
          <w:b w:val="0"/>
          <w:i w:val="0"/>
          <w:sz w:val="22"/>
        </w:rPr>
        <w:t>• Tập trung Nam Á — không bao gồm Đông Nam Á (Việt Nam, Indonesia, Philippines) (GBD 2021 ASEAN Collaborators, 2025).</w:t>
      </w:r>
    </w:p>
    <w:p>
      <w:r>
        <w:rPr>
          <w:rFonts w:ascii="Times New Roman" w:hAnsi="Times New Roman"/>
          <w:b/>
          <w:i w:val="0"/>
          <w:sz w:val="24"/>
        </w:rPr>
        <w:t>Hướng cải thiện:</w:t>
      </w:r>
    </w:p>
    <w:p>
      <w:r>
        <w:rPr>
          <w:rFonts w:ascii="Times New Roman" w:hAnsi="Times New Roman"/>
          <w:b w:val="0"/>
          <w:i w:val="0"/>
          <w:sz w:val="22"/>
        </w:rPr>
        <w:t>• Mở rộng sang Đông Nam Á để so sánh liên khu vực (GBD 2021 ASEAN Collaborators, 2025).</w:t>
      </w:r>
    </w:p>
    <w:p>
      <w:r>
        <w:rPr>
          <w:rFonts w:ascii="Times New Roman" w:hAnsi="Times New Roman"/>
          <w:b w:val="0"/>
          <w:i w:val="0"/>
          <w:sz w:val="22"/>
        </w:rPr>
        <w:t>• Chuẩn hóa công cụ đo lường xuyên quốc gia Nam Á (Polanczyk và cộng sự, 2015).</w:t>
      </w:r>
    </w:p>
    <w:p>
      <w:r>
        <w:rPr>
          <w:rFonts w:ascii="Times New Roman" w:hAnsi="Times New Roman"/>
          <w:b w:val="0"/>
          <w:i w:val="0"/>
          <w:sz w:val="22"/>
        </w:rPr>
        <w:t>• RCT can thiệp phù hợp văn hóa tại trường học Nam Á (Werner-Seidler và cộng sự, 2021; Zhameden và cộng sự, 2025).</w:t>
      </w:r>
    </w:p>
    <w:p/>
    <w:p>
      <w:r>
        <w:rPr>
          <w:rFonts w:ascii="Times New Roman" w:hAnsi="Times New Roman"/>
          <w:i/>
          <w:color w:val="808080"/>
          <w:sz w:val="18"/>
        </w:rPr>
        <w:t>--- Trang 2–3, Lancet Regional Health — SEA, 2025 ---</w:t>
      </w:r>
    </w:p>
    <w:p>
      <w:pPr>
        <w:pStyle w:val="Heading2"/>
      </w:pPr>
      <w:r>
        <w:rPr>
          <w:rFonts w:ascii="Times New Roman" w:hAnsi="Times New Roman"/>
          <w:color w:val="000000"/>
        </w:rPr>
        <w:t>GIỚI THIỆU</w:t>
      </w:r>
    </w:p>
    <w:p>
      <w:r>
        <w:rPr>
          <w:rFonts w:ascii="Times New Roman" w:hAnsi="Times New Roman"/>
          <w:b w:val="0"/>
          <w:i w:val="0"/>
          <w:sz w:val="24"/>
        </w:rPr>
        <w:t>Trầm cảm và lo âu là nguyên nhân hàng đầu gây bệnh tâm thần và khuyết tật ở VTN. Tự tử — thường là hệ quả của trầm cảm — là nguyên nhân tử vong thứ 4 ở VTN 15–19 tuổi (WHO, 2022). Hơn 80% người có vấn đề SKTT sống ở LMIC. Dự kiến đến 2030, trầm cảm sẽ là nguyên nhân gánh nặng bệnh tật thứ 3 tại nước thu nhập thấp và thứ 2 tại nước thu nhập trung bình.</w:t>
      </w:r>
    </w:p>
    <w:p>
      <w:r>
        <w:rPr>
          <w:rFonts w:ascii="Times New Roman" w:hAnsi="Times New Roman"/>
          <w:b w:val="0"/>
          <w:i w:val="0"/>
          <w:sz w:val="24"/>
        </w:rPr>
        <w:t>Nam Á gồm 8 quốc gia: Afghanistan, Bangladesh, Bhutan, Ấn Độ, Maldives, Nepal, Pakistan, Sri Lanka. 7/8 nước được World Bank xếp hạng LMIC. Dữ liệu về SKTT VTN tại khu vực này rất thiếu hoặc không nhất quán.</w:t>
      </w:r>
    </w:p>
    <w:p>
      <w:r>
        <w:rPr>
          <w:rFonts w:ascii="Times New Roman" w:hAnsi="Times New Roman"/>
          <w:b w:val="0"/>
          <w:i w:val="0"/>
          <w:sz w:val="24"/>
        </w:rPr>
        <w:t>Khung sinh thái xã hội (social-ecological framework) được sử dụng để phân tích: yếu tố cá nhân (sinh học, tâm lý), gia đình (bạo lực, cấu trúc), trường học (bắt nạt, áp lực), cộng đồng (nghèo đói, xung đột), và vĩ mô (chính sách, văn hóa).</w:t>
      </w:r>
    </w:p>
    <w:p>
      <w:r>
        <w:rPr>
          <w:rFonts w:ascii="Times New Roman" w:hAnsi="Times New Roman"/>
          <w:i/>
          <w:color w:val="808080"/>
          <w:sz w:val="18"/>
        </w:rPr>
        <w:t>--- Trang 3–4, Lancet Regional Health — SEA, 2025 ---</w:t>
      </w:r>
    </w:p>
    <w:p>
      <w:pPr>
        <w:pStyle w:val="Heading2"/>
      </w:pPr>
      <w:r>
        <w:rPr>
          <w:rFonts w:ascii="Times New Roman" w:hAnsi="Times New Roman"/>
          <w:color w:val="000000"/>
        </w:rPr>
        <w:t>PHƯƠNG PHÁP</w:t>
      </w:r>
    </w:p>
    <w:p>
      <w:r>
        <w:rPr>
          <w:rFonts w:ascii="Times New Roman" w:hAnsi="Times New Roman"/>
          <w:b w:val="0"/>
          <w:i w:val="0"/>
          <w:sz w:val="24"/>
        </w:rPr>
        <w:t>Tìm kiếm trên MEDLINE, PsycINFO, Embase, CINAHL, Global Health. Tiêu chí: nghiên cứu quan sát về VTN 10–19 tuổi tại 8 nước Nam Á, đo SKTT bằng công cụ chuẩn hóa, xuất bản bằng tiếng Anh. Đánh giá chất lượng bằng JBI (Joanna Briggs Institute). Tổng hợp tường thuật (narrative synthesis) do tính không đồng nhất cao.</w:t>
      </w:r>
    </w:p>
    <w:p>
      <w:r>
        <w:rPr>
          <w:rFonts w:ascii="Times New Roman" w:hAnsi="Times New Roman"/>
          <w:i/>
          <w:color w:val="808080"/>
          <w:sz w:val="18"/>
        </w:rPr>
        <w:t>--- Trang 5–8, Lancet Regional Health — SEA, 2025 ---</w:t>
      </w:r>
    </w:p>
    <w:p>
      <w:pPr>
        <w:pStyle w:val="Heading2"/>
      </w:pPr>
      <w:r>
        <w:rPr>
          <w:rFonts w:ascii="Times New Roman" w:hAnsi="Times New Roman"/>
          <w:color w:val="000000"/>
        </w:rPr>
        <w:t>KẾT QUẢ</w:t>
      </w:r>
    </w:p>
    <w:p>
      <w:r>
        <w:rPr>
          <w:rFonts w:ascii="Times New Roman" w:hAnsi="Times New Roman"/>
          <w:b/>
          <w:i w:val="0"/>
          <w:sz w:val="24"/>
        </w:rPr>
        <w:t>Tỷ lệ SKTT ở VTN Nam Á:</w:t>
      </w:r>
    </w:p>
    <w:p>
      <w:r>
        <w:rPr>
          <w:rFonts w:ascii="Times New Roman" w:hAnsi="Times New Roman"/>
          <w:b w:val="0"/>
          <w:i w:val="0"/>
          <w:sz w:val="24"/>
        </w:rPr>
        <w:t>Tỷ lệ dao động rất lớn: 1,5–81,6% tùy quốc gia, phương pháp và định nghĩa. Phần lớn nghiên cứu từ Ấn Độ. Trầm cảm và lo âu là phổ biến nhất. Một số nghiên cứu báo cáo tỷ lệ cao bất thường (&gt;50%) — có thể do dùng thang sàng lọc với ngưỡng thấp.</w:t>
      </w:r>
    </w:p>
    <w:p>
      <w:r>
        <w:rPr>
          <w:rFonts w:ascii="Times New Roman" w:hAnsi="Times New Roman"/>
          <w:b/>
          <w:i w:val="0"/>
          <w:sz w:val="24"/>
        </w:rPr>
        <w:t>Yếu tố quyết định theo khung sinh thái xã hội:</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1417" w:type="dxa"/>
            <w:shd w:fill="D9E2F3" w:val="clear"/>
          </w:tcPr>
          <w:p>
            <w:pPr>
              <w:jc w:val="center"/>
            </w:pPr>
            <w:r>
              <w:rPr>
                <w:rFonts w:ascii="Times New Roman" w:hAnsi="Times New Roman"/>
                <w:b/>
                <w:sz w:val="20"/>
              </w:rPr>
              <w:t>Cấp độ</w:t>
            </w:r>
          </w:p>
        </w:tc>
        <w:tc>
          <w:tcPr>
            <w:tcW w:type="dxa" w:w="3135"/>
            <w:tcW w:w="2835" w:type="dxa"/>
            <w:shd w:fill="D9E2F3" w:val="clear"/>
          </w:tcPr>
          <w:p>
            <w:pPr>
              <w:jc w:val="center"/>
            </w:pPr>
            <w:r>
              <w:rPr>
                <w:rFonts w:ascii="Times New Roman" w:hAnsi="Times New Roman"/>
                <w:b/>
                <w:sz w:val="20"/>
              </w:rPr>
              <w:t>Yếu tố nguy cơ</w:t>
            </w:r>
          </w:p>
        </w:tc>
        <w:tc>
          <w:tcPr>
            <w:tcW w:type="dxa" w:w="3135"/>
            <w:tcW w:w="2835" w:type="dxa"/>
            <w:shd w:fill="D9E2F3" w:val="clear"/>
          </w:tcPr>
          <w:p>
            <w:pPr>
              <w:jc w:val="center"/>
            </w:pPr>
            <w:r>
              <w:rPr>
                <w:rFonts w:ascii="Times New Roman" w:hAnsi="Times New Roman"/>
                <w:b/>
                <w:sz w:val="20"/>
              </w:rPr>
              <w:t>Yếu tố bảo vệ</w:t>
            </w:r>
          </w:p>
        </w:tc>
      </w:tr>
      <w:tr>
        <w:tc>
          <w:tcPr>
            <w:tcW w:type="dxa" w:w="3135"/>
            <w:tcW w:w="1417" w:type="dxa"/>
          </w:tcPr>
          <w:p>
            <w:r>
              <w:rPr>
                <w:rFonts w:ascii="Times New Roman" w:hAnsi="Times New Roman"/>
                <w:sz w:val="20"/>
              </w:rPr>
              <w:t>Cá nhân</w:t>
            </w:r>
          </w:p>
        </w:tc>
        <w:tc>
          <w:tcPr>
            <w:tcW w:type="dxa" w:w="3135"/>
            <w:tcW w:w="2835" w:type="dxa"/>
          </w:tcPr>
          <w:p>
            <w:r>
              <w:rPr>
                <w:rFonts w:ascii="Times New Roman" w:hAnsi="Times New Roman"/>
                <w:sz w:val="20"/>
              </w:rPr>
              <w:t>Nữ giới, tuổi lớn hơn, bệnh mạn tính</w:t>
            </w:r>
          </w:p>
        </w:tc>
        <w:tc>
          <w:tcPr>
            <w:tcW w:type="dxa" w:w="3135"/>
            <w:tcW w:w="2835" w:type="dxa"/>
          </w:tcPr>
          <w:p>
            <w:r>
              <w:rPr>
                <w:rFonts w:ascii="Times New Roman" w:hAnsi="Times New Roman"/>
                <w:sz w:val="20"/>
              </w:rPr>
              <w:t>Lòng tự trọng cao, kỹ năng ứng phó</w:t>
            </w:r>
          </w:p>
        </w:tc>
      </w:tr>
      <w:tr>
        <w:tc>
          <w:tcPr>
            <w:tcW w:type="dxa" w:w="3135"/>
            <w:tcW w:w="1417" w:type="dxa"/>
          </w:tcPr>
          <w:p>
            <w:r>
              <w:rPr>
                <w:rFonts w:ascii="Times New Roman" w:hAnsi="Times New Roman"/>
                <w:sz w:val="20"/>
              </w:rPr>
              <w:t>Gia đình</w:t>
            </w:r>
          </w:p>
        </w:tc>
        <w:tc>
          <w:tcPr>
            <w:tcW w:type="dxa" w:w="3135"/>
            <w:tcW w:w="2835" w:type="dxa"/>
          </w:tcPr>
          <w:p>
            <w:r>
              <w:rPr>
                <w:rFonts w:ascii="Times New Roman" w:hAnsi="Times New Roman"/>
                <w:sz w:val="20"/>
              </w:rPr>
              <w:t>Bạo lực gia đình, mất cha mẹ, xung đột gia đình</w:t>
            </w:r>
          </w:p>
        </w:tc>
        <w:tc>
          <w:tcPr>
            <w:tcW w:type="dxa" w:w="3135"/>
            <w:tcW w:w="2835" w:type="dxa"/>
          </w:tcPr>
          <w:p>
            <w:r>
              <w:rPr>
                <w:rFonts w:ascii="Times New Roman" w:hAnsi="Times New Roman"/>
                <w:sz w:val="20"/>
              </w:rPr>
              <w:t>Hỗ trợ gia đình, giao tiếp tốt</w:t>
            </w:r>
          </w:p>
        </w:tc>
      </w:tr>
      <w:tr>
        <w:tc>
          <w:tcPr>
            <w:tcW w:type="dxa" w:w="3135"/>
            <w:tcW w:w="1417" w:type="dxa"/>
          </w:tcPr>
          <w:p>
            <w:r>
              <w:rPr>
                <w:rFonts w:ascii="Times New Roman" w:hAnsi="Times New Roman"/>
                <w:sz w:val="20"/>
              </w:rPr>
              <w:t>Trường học</w:t>
            </w:r>
          </w:p>
        </w:tc>
        <w:tc>
          <w:tcPr>
            <w:tcW w:type="dxa" w:w="3135"/>
            <w:tcW w:w="2835" w:type="dxa"/>
          </w:tcPr>
          <w:p>
            <w:r>
              <w:rPr>
                <w:rFonts w:ascii="Times New Roman" w:hAnsi="Times New Roman"/>
                <w:sz w:val="20"/>
              </w:rPr>
              <w:t>Bắt nạt, áp lực học tập, kỷ luật hà khắc</w:t>
            </w:r>
          </w:p>
        </w:tc>
        <w:tc>
          <w:tcPr>
            <w:tcW w:type="dxa" w:w="3135"/>
            <w:tcW w:w="2835" w:type="dxa"/>
          </w:tcPr>
          <w:p>
            <w:r>
              <w:rPr>
                <w:rFonts w:ascii="Times New Roman" w:hAnsi="Times New Roman"/>
                <w:sz w:val="20"/>
              </w:rPr>
              <w:t>Môi trường trường học tích cực</w:t>
            </w:r>
          </w:p>
        </w:tc>
      </w:tr>
      <w:tr>
        <w:tc>
          <w:tcPr>
            <w:tcW w:type="dxa" w:w="3135"/>
            <w:tcW w:w="1417" w:type="dxa"/>
          </w:tcPr>
          <w:p>
            <w:r>
              <w:rPr>
                <w:rFonts w:ascii="Times New Roman" w:hAnsi="Times New Roman"/>
                <w:sz w:val="20"/>
              </w:rPr>
              <w:t>Cộng đồng</w:t>
            </w:r>
          </w:p>
        </w:tc>
        <w:tc>
          <w:tcPr>
            <w:tcW w:type="dxa" w:w="3135"/>
            <w:tcW w:w="2835" w:type="dxa"/>
          </w:tcPr>
          <w:p>
            <w:r>
              <w:rPr>
                <w:rFonts w:ascii="Times New Roman" w:hAnsi="Times New Roman"/>
                <w:sz w:val="20"/>
              </w:rPr>
              <w:t>Nghèo đói, bạo lực cộng đồng, thiên tai</w:t>
            </w:r>
          </w:p>
        </w:tc>
        <w:tc>
          <w:tcPr>
            <w:tcW w:type="dxa" w:w="3135"/>
            <w:tcW w:w="2835" w:type="dxa"/>
          </w:tcPr>
          <w:p>
            <w:r>
              <w:rPr>
                <w:rFonts w:ascii="Times New Roman" w:hAnsi="Times New Roman"/>
                <w:sz w:val="20"/>
              </w:rPr>
              <w:t>Hỗ trợ xã hội, kết nối cộng đồng</w:t>
            </w:r>
          </w:p>
        </w:tc>
      </w:tr>
      <w:tr>
        <w:tc>
          <w:tcPr>
            <w:tcW w:type="dxa" w:w="3135"/>
            <w:tcW w:w="1417" w:type="dxa"/>
          </w:tcPr>
          <w:p>
            <w:r>
              <w:rPr>
                <w:rFonts w:ascii="Times New Roman" w:hAnsi="Times New Roman"/>
                <w:sz w:val="20"/>
              </w:rPr>
              <w:t>Vĩ mô</w:t>
            </w:r>
          </w:p>
        </w:tc>
        <w:tc>
          <w:tcPr>
            <w:tcW w:type="dxa" w:w="3135"/>
            <w:tcW w:w="2835" w:type="dxa"/>
          </w:tcPr>
          <w:p>
            <w:r>
              <w:rPr>
                <w:rFonts w:ascii="Times New Roman" w:hAnsi="Times New Roman"/>
                <w:sz w:val="20"/>
              </w:rPr>
              <w:t>Kỳ thị SKTT, thiếu chính sách, xung đột vũ trang</w:t>
            </w:r>
          </w:p>
        </w:tc>
        <w:tc>
          <w:tcPr>
            <w:tcW w:type="dxa" w:w="3135"/>
            <w:tcW w:w="2835" w:type="dxa"/>
          </w:tcPr>
          <w:p>
            <w:r>
              <w:rPr>
                <w:rFonts w:ascii="Times New Roman" w:hAnsi="Times New Roman"/>
                <w:sz w:val="20"/>
              </w:rPr>
              <w:t>Chính sách SKTT quốc gia</w:t>
            </w:r>
          </w:p>
        </w:tc>
      </w:tr>
    </w:tbl>
    <w:p/>
    <w:p>
      <w:r>
        <w:rPr>
          <w:rFonts w:ascii="Times New Roman" w:hAnsi="Times New Roman"/>
          <w:i/>
          <w:color w:val="808080"/>
          <w:sz w:val="18"/>
        </w:rPr>
        <w:t>--- Trang 9–11, Lancet Regional Health — SEA, 2025 ---</w:t>
      </w:r>
    </w:p>
    <w:p>
      <w:pPr>
        <w:pStyle w:val="Heading2"/>
      </w:pPr>
      <w:r>
        <w:rPr>
          <w:rFonts w:ascii="Times New Roman" w:hAnsi="Times New Roman"/>
          <w:color w:val="000000"/>
        </w:rPr>
        <w:t>THẢO LUẬN</w:t>
      </w:r>
    </w:p>
    <w:p>
      <w:r>
        <w:rPr>
          <w:rFonts w:ascii="Times New Roman" w:hAnsi="Times New Roman"/>
          <w:b w:val="0"/>
          <w:i w:val="0"/>
          <w:sz w:val="24"/>
        </w:rPr>
        <w:t>Sự dao động lớn (1,5–81,6%) phản ánh tình trạng thiếu chuẩn hóa trong nghiên cứu SKTT VTN Nam Á. Nhiều nghiên cứu sử dụng công cụ tự phát triển hoặc chưa được chuẩn hóa cho bối cảnh văn hóa địa phương — tương tự vấn đề tại Việt Nam (Vũ Mạnh Lợi và cộng sự, 2022).</w:t>
      </w:r>
    </w:p>
    <w:p>
      <w:r>
        <w:rPr>
          <w:rFonts w:ascii="Times New Roman" w:hAnsi="Times New Roman"/>
          <w:b w:val="0"/>
          <w:i w:val="0"/>
          <w:sz w:val="24"/>
        </w:rPr>
        <w:t>Kỳ thị SKTT là rào cản lớn nhất — ở nhiều nước Nam Á, bệnh tâm thần bị coi là "ma quỷ nhập" hoặc "yếu đuối", khiến gia đình tìm đến thầy lang thay vì chuyên gia SKTT. Đây cũng là vấn đề tại Việt Nam và nhiều nước ASEAN.</w:t>
      </w:r>
    </w:p>
    <w:p>
      <w:pPr>
        <w:pStyle w:val="Heading2"/>
      </w:pPr>
      <w:r>
        <w:rPr>
          <w:rFonts w:ascii="Times New Roman" w:hAnsi="Times New Roman"/>
          <w:color w:val="000000"/>
        </w:rPr>
        <w:t>KẾT LUẬN</w:t>
      </w:r>
    </w:p>
    <w:p>
      <w:r>
        <w:rPr>
          <w:rFonts w:ascii="Times New Roman" w:hAnsi="Times New Roman"/>
          <w:b w:val="0"/>
          <w:i w:val="0"/>
          <w:sz w:val="24"/>
        </w:rPr>
        <w:t>Cần chuẩn hóa phương pháp nghiên cứu SKTT VTN tại Nam Á. Chính sách cần tích hợp khung sinh thái xã hội, giảm kỳ thị, và đầu tư vào can thiệp trường học phù hợp văn hóa. Bài học cho Đông Nam Á: đa dạng văn hóa đòi hỏi tiếp cận linh hoạt, không thể áp dụng mô hình phương Tây máy móc.</w:t>
      </w:r>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MHP</w:t>
            </w:r>
          </w:p>
        </w:tc>
        <w:tc>
          <w:tcPr>
            <w:tcW w:type="dxa" w:w="4702"/>
            <w:tcW w:w="7371" w:type="dxa"/>
          </w:tcPr>
          <w:p>
            <w:r>
              <w:rPr>
                <w:rFonts w:ascii="Times New Roman" w:hAnsi="Times New Roman"/>
                <w:sz w:val="20"/>
              </w:rPr>
              <w:t>Mental Health Problems — Vấn đề sức khỏe tâm thần</w:t>
            </w:r>
          </w:p>
        </w:tc>
      </w:tr>
      <w:tr>
        <w:tc>
          <w:tcPr>
            <w:tcW w:type="dxa" w:w="4702"/>
            <w:tcW w:w="1701" w:type="dxa"/>
          </w:tcPr>
          <w:p>
            <w:r>
              <w:rPr>
                <w:rFonts w:ascii="Times New Roman" w:hAnsi="Times New Roman"/>
                <w:sz w:val="20"/>
              </w:rPr>
              <w:t>LMIC</w:t>
            </w:r>
          </w:p>
        </w:tc>
        <w:tc>
          <w:tcPr>
            <w:tcW w:type="dxa" w:w="4702"/>
            <w:tcW w:w="7371" w:type="dxa"/>
          </w:tcPr>
          <w:p>
            <w:r>
              <w:rPr>
                <w:rFonts w:ascii="Times New Roman" w:hAnsi="Times New Roman"/>
                <w:sz w:val="20"/>
              </w:rPr>
              <w:t>Low- and Middle-Income Countries — Nước thu nhập thấp và trung bình</w:t>
            </w:r>
          </w:p>
        </w:tc>
      </w:tr>
      <w:tr>
        <w:tc>
          <w:tcPr>
            <w:tcW w:type="dxa" w:w="4702"/>
            <w:tcW w:w="1701" w:type="dxa"/>
          </w:tcPr>
          <w:p>
            <w:r>
              <w:rPr>
                <w:rFonts w:ascii="Times New Roman" w:hAnsi="Times New Roman"/>
                <w:sz w:val="20"/>
              </w:rPr>
              <w:t>PRISMA</w:t>
            </w:r>
          </w:p>
        </w:tc>
        <w:tc>
          <w:tcPr>
            <w:tcW w:type="dxa" w:w="4702"/>
            <w:tcW w:w="7371" w:type="dxa"/>
          </w:tcPr>
          <w:p>
            <w:r>
              <w:rPr>
                <w:rFonts w:ascii="Times New Roman" w:hAnsi="Times New Roman"/>
                <w:sz w:val="20"/>
              </w:rPr>
              <w:t>Preferred Reporting Items for Systematic Reviews and Meta-Analyses</w:t>
            </w:r>
          </w:p>
        </w:tc>
      </w:tr>
      <w:tr>
        <w:tc>
          <w:tcPr>
            <w:tcW w:type="dxa" w:w="4702"/>
            <w:tcW w:w="1701" w:type="dxa"/>
          </w:tcPr>
          <w:p>
            <w:r>
              <w:rPr>
                <w:rFonts w:ascii="Times New Roman" w:hAnsi="Times New Roman"/>
                <w:sz w:val="20"/>
              </w:rPr>
              <w:t>JBI</w:t>
            </w:r>
          </w:p>
        </w:tc>
        <w:tc>
          <w:tcPr>
            <w:tcW w:type="dxa" w:w="4702"/>
            <w:tcW w:w="7371" w:type="dxa"/>
          </w:tcPr>
          <w:p>
            <w:r>
              <w:rPr>
                <w:rFonts w:ascii="Times New Roman" w:hAnsi="Times New Roman"/>
                <w:sz w:val="20"/>
              </w:rPr>
              <w:t>Joanna Briggs Institute — Viện Joanna Briggs (đánh giá chất lượng NC)</w:t>
            </w:r>
          </w:p>
        </w:tc>
      </w:tr>
      <w:tr>
        <w:tc>
          <w:tcPr>
            <w:tcW w:type="dxa" w:w="4702"/>
            <w:tcW w:w="1701" w:type="dxa"/>
          </w:tcPr>
          <w:p>
            <w:r>
              <w:rPr>
                <w:rFonts w:ascii="Times New Roman" w:hAnsi="Times New Roman"/>
                <w:sz w:val="20"/>
              </w:rPr>
              <w:t>SDH</w:t>
            </w:r>
          </w:p>
        </w:tc>
        <w:tc>
          <w:tcPr>
            <w:tcW w:type="dxa" w:w="4702"/>
            <w:tcW w:w="7371" w:type="dxa"/>
          </w:tcPr>
          <w:p>
            <w:r>
              <w:rPr>
                <w:rFonts w:ascii="Times New Roman" w:hAnsi="Times New Roman"/>
                <w:sz w:val="20"/>
              </w:rPr>
              <w:t>Social Determinants of Health — Yếu tố quyết định xã hội về sức khỏe</w:t>
            </w:r>
          </w:p>
        </w:tc>
      </w:tr>
      <w:tr>
        <w:tc>
          <w:tcPr>
            <w:tcW w:type="dxa" w:w="4702"/>
            <w:tcW w:w="1701" w:type="dxa"/>
          </w:tcPr>
          <w:p>
            <w:r>
              <w:rPr>
                <w:rFonts w:ascii="Times New Roman" w:hAnsi="Times New Roman"/>
                <w:sz w:val="20"/>
              </w:rPr>
              <w:t>VTN</w:t>
            </w:r>
          </w:p>
        </w:tc>
        <w:tc>
          <w:tcPr>
            <w:tcW w:type="dxa" w:w="4702"/>
            <w:tcW w:w="7371" w:type="dxa"/>
          </w:tcPr>
          <w:p>
            <w:r>
              <w:rPr>
                <w:rFonts w:ascii="Times New Roman" w:hAnsi="Times New Roman"/>
                <w:sz w:val="20"/>
              </w:rPr>
              <w:t>Vị thành niên (10–19 tuổi)</w:t>
            </w:r>
          </w:p>
        </w:tc>
      </w:tr>
      <w:tr>
        <w:tc>
          <w:tcPr>
            <w:tcW w:type="dxa" w:w="4702"/>
            <w:tcW w:w="1701" w:type="dxa"/>
          </w:tcPr>
          <w:p>
            <w:r>
              <w:rPr>
                <w:rFonts w:ascii="Times New Roman" w:hAnsi="Times New Roman"/>
                <w:sz w:val="20"/>
              </w:rPr>
              <w:t>SKTT</w:t>
            </w:r>
          </w:p>
        </w:tc>
        <w:tc>
          <w:tcPr>
            <w:tcW w:type="dxa" w:w="4702"/>
            <w:tcW w:w="7371" w:type="dxa"/>
          </w:tcPr>
          <w:p>
            <w:r>
              <w:rPr>
                <w:rFonts w:ascii="Times New Roman" w:hAnsi="Times New Roman"/>
                <w:sz w:val="20"/>
              </w:rPr>
              <w:t>Sức khỏe tâm thần</w:t>
            </w:r>
          </w:p>
        </w:tc>
      </w:tr>
      <w:tr>
        <w:tc>
          <w:tcPr>
            <w:tcW w:type="dxa" w:w="4702"/>
            <w:tcW w:w="1701" w:type="dxa"/>
          </w:tcPr>
          <w:p>
            <w:r>
              <w:rPr>
                <w:rFonts w:ascii="Times New Roman" w:hAnsi="Times New Roman"/>
                <w:sz w:val="20"/>
              </w:rPr>
              <w:t>WHO</w:t>
            </w:r>
          </w:p>
        </w:tc>
        <w:tc>
          <w:tcPr>
            <w:tcW w:type="dxa" w:w="4702"/>
            <w:tcW w:w="7371" w:type="dxa"/>
          </w:tcPr>
          <w:p>
            <w:r>
              <w:rPr>
                <w:rFonts w:ascii="Times New Roman" w:hAnsi="Times New Roman"/>
                <w:sz w:val="20"/>
              </w:rPr>
              <w:t>World Health Organization — Tổ chức Y tế Thế giới</w:t>
            </w:r>
          </w:p>
        </w:tc>
      </w:tr>
    </w:tbl>
    <w:p/>
    <w:p>
      <w:r>
        <w:rPr>
          <w:rFonts w:ascii="Times New Roman" w:hAnsi="Times New Roman"/>
          <w:b/>
          <w:color w:val="FF0000"/>
          <w:sz w:val="26"/>
        </w:rPr>
        <w:t>PHẢN BIỆN CHI TIẾT</w:t>
      </w:r>
    </w:p>
    <w:p>
      <w:r>
        <w:rPr>
          <w:rFonts w:ascii="Times New Roman" w:hAnsi="Times New Roman"/>
          <w:b/>
          <w:color w:val="FF0000"/>
          <w:sz w:val="24"/>
        </w:rPr>
        <w:t>Điểm mạnh:</w:t>
      </w:r>
    </w:p>
    <w:p>
      <w:r>
        <w:rPr>
          <w:rFonts w:ascii="Times New Roman" w:hAnsi="Times New Roman"/>
          <w:b w:val="0"/>
          <w:color w:val="FF0000"/>
          <w:sz w:val="24"/>
        </w:rPr>
        <w:t>• Tổng quan hệ thống đầu tiên về SKTT VTN tập trung riêng vào Nam Á — khu vực 24% dân số thế giới nhưng ít được nghiên cứu (WHO, 2022).</w:t>
      </w:r>
    </w:p>
    <w:p>
      <w:r>
        <w:rPr>
          <w:rFonts w:ascii="Times New Roman" w:hAnsi="Times New Roman"/>
          <w:b w:val="0"/>
          <w:color w:val="FF0000"/>
          <w:sz w:val="24"/>
        </w:rPr>
        <w:t>• Đăng trên Lancet Regional Health — tạp chí uy tín, bình duyệt nghiêm ngặt.</w:t>
      </w:r>
    </w:p>
    <w:p>
      <w:r>
        <w:rPr>
          <w:rFonts w:ascii="Times New Roman" w:hAnsi="Times New Roman"/>
          <w:b w:val="0"/>
          <w:color w:val="FF0000"/>
          <w:sz w:val="24"/>
        </w:rPr>
        <w:t>• Sử dụng khung sinh thái xã hội — phân tích đa tầng từ cá nhân đến vĩ mô (Bronfenbrenner, 1979).</w:t>
      </w:r>
    </w:p>
    <w:p>
      <w:r>
        <w:rPr>
          <w:rFonts w:ascii="Times New Roman" w:hAnsi="Times New Roman"/>
          <w:b w:val="0"/>
          <w:color w:val="FF0000"/>
          <w:sz w:val="24"/>
        </w:rPr>
        <w:t>• Bao phủ 8 quốc gia với đa dạng văn hóa, tôn giáo, kinh tế — phạm vi rộng (Polanczyk và cộng sự, 2015).</w:t>
      </w:r>
    </w:p>
    <w:p>
      <w:r>
        <w:rPr>
          <w:rFonts w:ascii="Times New Roman" w:hAnsi="Times New Roman"/>
          <w:b/>
          <w:color w:val="FF0000"/>
          <w:sz w:val="24"/>
        </w:rPr>
        <w:t>Hạn chế:</w:t>
      </w:r>
    </w:p>
    <w:p>
      <w:r>
        <w:rPr>
          <w:rFonts w:ascii="Times New Roman" w:hAnsi="Times New Roman"/>
          <w:b w:val="0"/>
          <w:color w:val="FF0000"/>
          <w:sz w:val="24"/>
        </w:rPr>
        <w:t>• Không meta-analysis do heterogeneity quá cao — chỉ tổng hợp tường thuật, hạn chế sức mạnh bằng chứng (Higgins và cộng sự, 2003).</w:t>
      </w:r>
    </w:p>
    <w:p>
      <w:r>
        <w:rPr>
          <w:rFonts w:ascii="Times New Roman" w:hAnsi="Times New Roman"/>
          <w:b w:val="0"/>
          <w:color w:val="FF0000"/>
          <w:sz w:val="24"/>
        </w:rPr>
        <w:t>• Phần lớn NC từ Ấn Độ — Afghanistan, Bhutan, Maldives gần như vắng bóng (Samuels và cộng sự, 2018).</w:t>
      </w:r>
    </w:p>
    <w:p>
      <w:r>
        <w:rPr>
          <w:rFonts w:ascii="Times New Roman" w:hAnsi="Times New Roman"/>
          <w:b w:val="0"/>
          <w:color w:val="FF0000"/>
          <w:sz w:val="24"/>
        </w:rPr>
        <w:t>• Tỷ lệ dao động 1,5–81,6% — vô nghĩa nếu không chuẩn hóa công cụ (COVID-19 Mental Disorders Collaborators, 2021; Ferrari và cộng sự, 2013).</w:t>
      </w:r>
    </w:p>
    <w:p>
      <w:r>
        <w:rPr>
          <w:rFonts w:ascii="Times New Roman" w:hAnsi="Times New Roman"/>
          <w:b w:val="0"/>
          <w:color w:val="FF0000"/>
          <w:sz w:val="24"/>
        </w:rPr>
        <w:t>• Chỉ Nam Á — thiếu so sánh với Đông Nam Á (Việt Nam, Indonesia, Philippines có bối cảnh tương tự) (GBD 2021 ASEAN Collaborators, 2025).</w:t>
      </w:r>
    </w:p>
    <w:p>
      <w:r>
        <w:rPr>
          <w:rFonts w:ascii="Times New Roman" w:hAnsi="Times New Roman"/>
          <w:b w:val="0"/>
          <w:color w:val="FF0000"/>
          <w:sz w:val="24"/>
        </w:rPr>
        <w:t>• Thiếu đánh giá chất lượng can thiệp — chỉ mô tả tỷ lệ, không đánh giá hiệu quả can thiệp nào (Werner-Seidler và cộng sự, 2021).</w:t>
      </w:r>
    </w:p>
    <w:p>
      <w:r>
        <w:rPr>
          <w:rFonts w:ascii="Times New Roman" w:hAnsi="Times New Roman"/>
          <w:b/>
          <w:color w:val="FF0000"/>
          <w:sz w:val="24"/>
        </w:rPr>
        <w:t>Khoảng trống nghiên cứu (Gap):</w:t>
      </w:r>
    </w:p>
    <w:p>
      <w:r>
        <w:rPr>
          <w:rFonts w:ascii="Times New Roman" w:hAnsi="Times New Roman"/>
          <w:b w:val="0"/>
          <w:color w:val="FF0000"/>
          <w:sz w:val="24"/>
        </w:rPr>
        <w:t>• Cần tổng quan hệ thống tương tự cho Đông Nam Á — hiện chưa có tổng quan riêng cho ASEAN (GBD 2021 ASEAN Collaborators, 2025).</w:t>
      </w:r>
    </w:p>
    <w:p>
      <w:r>
        <w:rPr>
          <w:rFonts w:ascii="Times New Roman" w:hAnsi="Times New Roman"/>
          <w:b w:val="0"/>
          <w:color w:val="FF0000"/>
          <w:sz w:val="24"/>
        </w:rPr>
        <w:t>• Chuẩn hóa công cụ đo: so sánh PHQ-9/GAD-7/DASS-21/DISC-5 trên cùng mẫu VTN Nam Á (Spitzer và cộng sự, 2006; Vũ Mạnh Lợi và cộng sự, 2022).</w:t>
      </w:r>
    </w:p>
    <w:p>
      <w:r>
        <w:rPr>
          <w:rFonts w:ascii="Times New Roman" w:hAnsi="Times New Roman"/>
          <w:b w:val="0"/>
          <w:color w:val="FF0000"/>
          <w:sz w:val="24"/>
        </w:rPr>
        <w:t>• RCT can thiệp SKTT tại trường học Nam Á — tổng quan hệ thống của Zhameden và cộng sự (2025) chỉ tìm được 6 RCTs tại LMIC, không có bài nào từ Nam Á trừ Ấn Độ.</w:t>
      </w:r>
    </w:p>
    <w:p>
      <w:r>
        <w:rPr>
          <w:rFonts w:ascii="Times New Roman" w:hAnsi="Times New Roman"/>
          <w:b w:val="0"/>
          <w:color w:val="FF0000"/>
          <w:sz w:val="24"/>
        </w:rPr>
        <w:t>• Nghiên cứu vai trò của kỳ thị SKTT — yếu tố cản trở lớn nhất tại Nam Á, cần can thiệp giảm kỳ thị dựa trên bằng chứng (Thornicroft và cộng sự, 2016).</w:t>
      </w:r>
    </w:p>
    <w:p>
      <w:r>
        <w:rPr>
          <w:rFonts w:ascii="Times New Roman" w:hAnsi="Times New Roman"/>
          <w:b w:val="0"/>
          <w:color w:val="FF0000"/>
          <w:sz w:val="24"/>
        </w:rPr>
        <w:t>• So sánh Nam Á vs Đông Nam Á: cùng LMIC nhưng văn hóa rất khác — Phật giáo vs Hindu vs Hồi giáo ảnh hưởng khác nhau đến SKTT (Canino &amp; Alegria, 2008).</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