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VN-2: V-NAMHS 2022</w:t>
      </w:r>
    </w:p>
    <w:p>
      <w:r>
        <w:rPr>
          <w:rFonts w:ascii="Times New Roman" w:hAnsi="Times New Roman"/>
          <w:b/>
          <w:color w:val="FF0000"/>
          <w:sz w:val="24"/>
        </w:rPr>
        <w:t>Tên công trình, tác giả, năm, mẫu khảo sát, đối tượng, khách thể, địa bàn</w:t>
      </w:r>
    </w:p>
    <w:p>
      <w:r>
        <w:rPr>
          <w:rFonts w:ascii="Times New Roman" w:hAnsi="Times New Roman"/>
          <w:b w:val="0"/>
          <w:color w:val="0070C0"/>
          <w:sz w:val="24"/>
        </w:rPr>
        <w:t>Công trình « Khảo sát Quốc gia về Sức khỏe Tâm thần Thanh thiếu niên Việt Nam » (Vietnam National Adolescent Mental Health Survey — V-NAMHS), do Bệnh viện Nhi Trung ương phối hợp UNICEF và ĐH Melbourne thực hiện (2022), khảo sát 5.996 thanh thiếu niên 10–17 tuổi tại 38 tỉnh thành trên toàn quốc Việt Nam. Đây là khảo sát SKTT thanh thiếu niên quy mô quốc gia đầu tiên của Việt Nam.</w:t>
      </w:r>
    </w:p>
    <w:p>
      <w:r>
        <w:rPr>
          <w:rFonts w:ascii="Times New Roman" w:hAnsi="Times New Roman"/>
          <w:b/>
          <w:color w:val="FF0000"/>
          <w:sz w:val="24"/>
        </w:rPr>
        <w:t>Phương pháp nghiên cứu</w:t>
      </w:r>
    </w:p>
    <w:p>
      <w:r>
        <w:rPr>
          <w:rFonts w:ascii="Times New Roman" w:hAnsi="Times New Roman"/>
          <w:b/>
          <w:color w:val="0070C0"/>
          <w:sz w:val="24"/>
        </w:rPr>
        <w:t>Công trình sử dụng Phỏng vấn Chẩn đoán DISC-5 (Diagnostic Interview Schedule for Children, phiên bản DSM-5) — công cụ chẩn đoán lâm sàng, không phải sàng lọc. Nói cách khác, đây là phương pháp chẩn đoán chuẩn vàng cho tỷ lệ rối loạn thực sự, với kết quả thấp hơn nhiều so với sàng lọc.</w:t>
      </w:r>
    </w:p>
    <w:p>
      <w:r>
        <w:rPr>
          <w:rFonts w:ascii="Times New Roman" w:hAnsi="Times New Roman"/>
          <w:b w:val="0"/>
          <w:color w:val="0070C0"/>
          <w:sz w:val="24"/>
        </w:rPr>
        <w:t>Lấy mẫu đại diện quốc gia: 38 tỉnh, phân tầng theo vùng địa lý. DISC-5 đánh giá theo tiêu chí DSM-5.</w:t>
      </w:r>
    </w:p>
    <w:p>
      <w:r>
        <w:rPr>
          <w:rFonts w:ascii="Times New Roman" w:hAnsi="Times New Roman"/>
          <w:b/>
          <w:color w:val="FF0000"/>
          <w:sz w:val="24"/>
        </w:rPr>
        <w:t>Kết quả nghiên cứu định lượng</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551" w:type="dxa"/>
            <w:shd w:fill="D9E2F3" w:val="clear"/>
          </w:tcPr>
          <w:p>
            <w:pPr>
              <w:jc w:val="center"/>
            </w:pPr>
            <w:r>
              <w:rPr>
                <w:rFonts w:ascii="Times New Roman" w:hAnsi="Times New Roman"/>
                <w:b/>
                <w:sz w:val="20"/>
              </w:rPr>
              <w:t>Tình trạng</w:t>
            </w:r>
          </w:p>
        </w:tc>
        <w:tc>
          <w:tcPr>
            <w:tcW w:type="dxa" w:w="3135"/>
            <w:tcW w:w="1417" w:type="dxa"/>
            <w:shd w:fill="D9E2F3" w:val="clear"/>
          </w:tcPr>
          <w:p>
            <w:pPr>
              <w:jc w:val="center"/>
            </w:pPr>
            <w:r>
              <w:rPr>
                <w:rFonts w:ascii="Times New Roman" w:hAnsi="Times New Roman"/>
                <w:b/>
                <w:sz w:val="20"/>
              </w:rPr>
              <w:t>Tỷ lệ</w:t>
            </w:r>
          </w:p>
        </w:tc>
        <w:tc>
          <w:tcPr>
            <w:tcW w:type="dxa" w:w="3135"/>
            <w:tcW w:w="2551" w:type="dxa"/>
            <w:shd w:fill="D9E2F3" w:val="clear"/>
          </w:tcPr>
          <w:p>
            <w:pPr>
              <w:jc w:val="center"/>
            </w:pPr>
            <w:r>
              <w:rPr>
                <w:rFonts w:ascii="Times New Roman" w:hAnsi="Times New Roman"/>
                <w:b/>
                <w:sz w:val="20"/>
              </w:rPr>
              <w:t>Ghi chú</w:t>
            </w:r>
          </w:p>
        </w:tc>
      </w:tr>
      <w:tr>
        <w:tc>
          <w:tcPr>
            <w:tcW w:type="dxa" w:w="3135"/>
            <w:tcW w:w="2551" w:type="dxa"/>
          </w:tcPr>
          <w:p>
            <w:r>
              <w:rPr>
                <w:rFonts w:ascii="Times New Roman" w:hAnsi="Times New Roman"/>
                <w:sz w:val="20"/>
              </w:rPr>
              <w:t>Vấn đề SKTT chung</w:t>
            </w:r>
          </w:p>
        </w:tc>
        <w:tc>
          <w:tcPr>
            <w:tcW w:type="dxa" w:w="3135"/>
            <w:tcW w:w="1417" w:type="dxa"/>
          </w:tcPr>
          <w:p>
            <w:r>
              <w:rPr>
                <w:rFonts w:ascii="Times New Roman" w:hAnsi="Times New Roman"/>
                <w:sz w:val="20"/>
              </w:rPr>
              <w:t>21,7%</w:t>
            </w:r>
          </w:p>
        </w:tc>
        <w:tc>
          <w:tcPr>
            <w:tcW w:type="dxa" w:w="3135"/>
            <w:tcW w:w="2551" w:type="dxa"/>
          </w:tcPr>
          <w:p>
            <w:r>
              <w:rPr>
                <w:rFonts w:ascii="Times New Roman" w:hAnsi="Times New Roman"/>
                <w:sz w:val="20"/>
              </w:rPr>
              <w:t>Bất kỳ vấn đề nào</w:t>
            </w:r>
          </w:p>
        </w:tc>
      </w:tr>
      <w:tr>
        <w:tc>
          <w:tcPr>
            <w:tcW w:type="dxa" w:w="3135"/>
            <w:tcW w:w="2551" w:type="dxa"/>
          </w:tcPr>
          <w:p>
            <w:r>
              <w:rPr>
                <w:rFonts w:ascii="Times New Roman" w:hAnsi="Times New Roman"/>
                <w:sz w:val="20"/>
              </w:rPr>
              <w:t>Lo âu (triệu chứng)</w:t>
            </w:r>
          </w:p>
        </w:tc>
        <w:tc>
          <w:tcPr>
            <w:tcW w:type="dxa" w:w="3135"/>
            <w:tcW w:w="1417" w:type="dxa"/>
          </w:tcPr>
          <w:p>
            <w:r>
              <w:rPr>
                <w:rFonts w:ascii="Times New Roman" w:hAnsi="Times New Roman"/>
                <w:sz w:val="20"/>
              </w:rPr>
              <w:t>18,6%</w:t>
            </w:r>
          </w:p>
        </w:tc>
        <w:tc>
          <w:tcPr>
            <w:tcW w:type="dxa" w:w="3135"/>
            <w:tcW w:w="2551" w:type="dxa"/>
          </w:tcPr>
          <w:p>
            <w:r>
              <w:rPr>
                <w:rFonts w:ascii="Times New Roman" w:hAnsi="Times New Roman"/>
                <w:sz w:val="20"/>
              </w:rPr>
              <w:t>Sàng lọc, không chẩn đoán</w:t>
            </w:r>
          </w:p>
        </w:tc>
      </w:tr>
      <w:tr>
        <w:tc>
          <w:tcPr>
            <w:tcW w:type="dxa" w:w="3135"/>
            <w:tcW w:w="2551" w:type="dxa"/>
          </w:tcPr>
          <w:p>
            <w:r>
              <w:rPr>
                <w:rFonts w:ascii="Times New Roman" w:hAnsi="Times New Roman"/>
                <w:sz w:val="20"/>
              </w:rPr>
              <w:t>Rối loạn lo âu (DSM-5)</w:t>
            </w:r>
          </w:p>
        </w:tc>
        <w:tc>
          <w:tcPr>
            <w:tcW w:type="dxa" w:w="3135"/>
            <w:tcW w:w="1417" w:type="dxa"/>
          </w:tcPr>
          <w:p>
            <w:r>
              <w:rPr>
                <w:rFonts w:ascii="Times New Roman" w:hAnsi="Times New Roman"/>
                <w:sz w:val="20"/>
              </w:rPr>
              <w:t>2,3%</w:t>
            </w:r>
          </w:p>
        </w:tc>
        <w:tc>
          <w:tcPr>
            <w:tcW w:type="dxa" w:w="3135"/>
            <w:tcW w:w="2551" w:type="dxa"/>
          </w:tcPr>
          <w:p>
            <w:r>
              <w:rPr>
                <w:rFonts w:ascii="Times New Roman" w:hAnsi="Times New Roman"/>
                <w:sz w:val="20"/>
              </w:rPr>
              <w:t>Chẩn đoán DISC-5</w:t>
            </w:r>
          </w:p>
        </w:tc>
      </w:tr>
      <w:tr>
        <w:tc>
          <w:tcPr>
            <w:tcW w:type="dxa" w:w="3135"/>
            <w:tcW w:w="2551" w:type="dxa"/>
          </w:tcPr>
          <w:p>
            <w:r>
              <w:rPr>
                <w:rFonts w:ascii="Times New Roman" w:hAnsi="Times New Roman"/>
                <w:sz w:val="20"/>
              </w:rPr>
              <w:t>Rối loạn trầm cảm chủ yếu</w:t>
            </w:r>
          </w:p>
        </w:tc>
        <w:tc>
          <w:tcPr>
            <w:tcW w:type="dxa" w:w="3135"/>
            <w:tcW w:w="1417" w:type="dxa"/>
          </w:tcPr>
          <w:p>
            <w:r>
              <w:rPr>
                <w:rFonts w:ascii="Times New Roman" w:hAnsi="Times New Roman"/>
                <w:sz w:val="20"/>
              </w:rPr>
              <w:t>0,9%</w:t>
            </w:r>
          </w:p>
        </w:tc>
        <w:tc>
          <w:tcPr>
            <w:tcW w:type="dxa" w:w="3135"/>
            <w:tcW w:w="2551" w:type="dxa"/>
          </w:tcPr>
          <w:p>
            <w:r>
              <w:rPr>
                <w:rFonts w:ascii="Times New Roman" w:hAnsi="Times New Roman"/>
                <w:sz w:val="20"/>
              </w:rPr>
              <w:t>MDD, DSM-5</w:t>
            </w:r>
          </w:p>
        </w:tc>
      </w:tr>
      <w:tr>
        <w:tc>
          <w:tcPr>
            <w:tcW w:type="dxa" w:w="3135"/>
            <w:tcW w:w="2551" w:type="dxa"/>
          </w:tcPr>
          <w:p>
            <w:r>
              <w:rPr>
                <w:rFonts w:ascii="Times New Roman" w:hAnsi="Times New Roman"/>
                <w:sz w:val="20"/>
              </w:rPr>
              <w:t>Bất kỳ rối loạn nào</w:t>
            </w:r>
          </w:p>
        </w:tc>
        <w:tc>
          <w:tcPr>
            <w:tcW w:type="dxa" w:w="3135"/>
            <w:tcW w:w="1417" w:type="dxa"/>
          </w:tcPr>
          <w:p>
            <w:r>
              <w:rPr>
                <w:rFonts w:ascii="Times New Roman" w:hAnsi="Times New Roman"/>
                <w:sz w:val="20"/>
              </w:rPr>
              <w:t>3,3%</w:t>
            </w:r>
          </w:p>
        </w:tc>
        <w:tc>
          <w:tcPr>
            <w:tcW w:type="dxa" w:w="3135"/>
            <w:tcW w:w="2551" w:type="dxa"/>
          </w:tcPr>
          <w:p>
            <w:r>
              <w:rPr>
                <w:rFonts w:ascii="Times New Roman" w:hAnsi="Times New Roman"/>
                <w:sz w:val="20"/>
              </w:rPr>
              <w:t>Chẩn đoán DSM-5</w:t>
            </w:r>
          </w:p>
        </w:tc>
      </w:tr>
      <w:tr>
        <w:tc>
          <w:tcPr>
            <w:tcW w:type="dxa" w:w="3135"/>
            <w:tcW w:w="2551" w:type="dxa"/>
          </w:tcPr>
          <w:p>
            <w:r>
              <w:rPr>
                <w:rFonts w:ascii="Times New Roman" w:hAnsi="Times New Roman"/>
                <w:sz w:val="20"/>
              </w:rPr>
              <w:t>Tiếp cận dịch vụ SKTT</w:t>
            </w:r>
          </w:p>
        </w:tc>
        <w:tc>
          <w:tcPr>
            <w:tcW w:type="dxa" w:w="3135"/>
            <w:tcW w:w="1417" w:type="dxa"/>
          </w:tcPr>
          <w:p>
            <w:r>
              <w:rPr>
                <w:rFonts w:ascii="Times New Roman" w:hAnsi="Times New Roman"/>
                <w:sz w:val="20"/>
              </w:rPr>
              <w:t>8,4%</w:t>
            </w:r>
          </w:p>
        </w:tc>
        <w:tc>
          <w:tcPr>
            <w:tcW w:type="dxa" w:w="3135"/>
            <w:tcW w:w="2551" w:type="dxa"/>
          </w:tcPr>
          <w:p>
            <w:r>
              <w:rPr>
                <w:rFonts w:ascii="Times New Roman" w:hAnsi="Times New Roman"/>
                <w:sz w:val="20"/>
              </w:rPr>
              <w:t>Rất thấp</w:t>
            </w:r>
          </w:p>
        </w:tc>
      </w:tr>
    </w:tbl>
    <w:p/>
    <w:p>
      <w:pPr>
        <w:pStyle w:val="Heading3"/>
      </w:pPr>
      <w:r>
        <w:rPr>
          <w:rFonts w:ascii="Times New Roman" w:hAnsi="Times New Roman"/>
          <w:color w:val="0070C0"/>
        </w:rPr>
        <w:t>Khoảng cách sàng lọc–chẩn đoán : Lo âu sàng lọc 18,6% vs chẩn đoán DISC-5 chỉ 2,3% — chênh lệch 8 lần. So với GAD-7 của Hoa 2024 (40,6%) và DASS-21 của Ngo Anh Vinh 2024 (54,4%), sự chênh lệch lên đến 17–24 lần. Đây là phát hiện quan trọng nhất cho phương pháp luận.</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 Chỉ 8,4% thanh thiếu niên có vấn đề SKTT tiếp cận dịch vụ — thấp hơn Philippines (~2%, Puyat 2025) nhưng vẫn rất thấp so với Hoa Kỳ (82,6%, NSCH 2020).</w:t>
      </w:r>
    </w:p>
    <w:p>
      <w:r>
        <w:rPr>
          <w:rFonts w:ascii="Times New Roman" w:hAnsi="Times New Roman"/>
          <w:b w:val="0"/>
          <w:color w:val="0070C0"/>
          <w:sz w:val="24"/>
        </w:rPr>
        <w:t>• Cha mẹ chỉ nhận ra 5,1% con có vấn đề SKTT — gợi ý đào tạo phụ huynh là ưu tiên can thiệp.</w:t>
      </w:r>
    </w:p>
    <w:p>
      <w:r>
        <w:rPr>
          <w:rFonts w:ascii="Times New Roman" w:hAnsi="Times New Roman"/>
          <w:b/>
          <w:color w:val="FF0000"/>
          <w:sz w:val="24"/>
        </w:rPr>
        <w:t>Kết luận</w:t>
      </w:r>
    </w:p>
    <w:p>
      <w:r>
        <w:rPr>
          <w:rFonts w:ascii="Times New Roman" w:hAnsi="Times New Roman"/>
          <w:b/>
          <w:color w:val="0070C0"/>
          <w:sz w:val="24"/>
        </w:rPr>
        <w:t>V-NAMHS là khảo sát quốc gia đầu tiên về SKTT thanh thiếu niên Việt Nam. Rối loạn lo âu chẩn đoán chỉ 2,3% (DSM-5) nhưng triệu chứng lo âu sàng lọc 18,6% — khoảng cách 8 lần. Chỉ 8,4% tiếp cận dịch vụ. Cần mở rộng hệ thống SKTT học đường và đào tạo phụ huynh nhận diện sớm.</w:t>
      </w:r>
    </w:p>
    <w:p>
      <w:pPr>
        <w:pStyle w:val="Heading2"/>
      </w:pPr>
      <w:r>
        <w:rPr>
          <w:rFonts w:ascii="Times New Roman" w:hAnsi="Times New Roman"/>
          <w:color w:val="FF0000"/>
        </w:rPr>
        <w:t>Phản biện</w:t>
      </w:r>
    </w:p>
    <w:p>
      <w:r>
        <w:rPr>
          <w:rFonts w:ascii="Times New Roman" w:hAnsi="Times New Roman"/>
          <w:b w:val="0"/>
          <w:color w:val="0070C0"/>
          <w:sz w:val="24"/>
        </w:rPr>
        <w:t>Cỡ mẫu quốc gia (5.996, 38 tỉnh), DISC-5/DSM-5 chuẩn vàng. Tuy nhiên, DISC-5 có thể bỏ sót triệu chứng dưới ngưỡng hội chứng. Dữ liệu 2022 có thể bị ảnh hưởng hậu COVID. Không phân tích giới tính chi tiết — GAP quan trọng.</w:t>
      </w:r>
    </w:p>
    <w:p>
      <w:pPr>
        <w:pStyle w:val="Heading2"/>
      </w:pPr>
      <w:r>
        <w:rPr>
          <w:rFonts w:ascii="Times New Roman" w:hAnsi="Times New Roman"/>
          <w:color w:val="FF0000"/>
        </w:rPr>
        <w:t>Hướng nghiên cứu tiếp theo</w:t>
      </w:r>
    </w:p>
    <w:p>
      <w:r>
        <w:rPr>
          <w:rFonts w:ascii="Times New Roman" w:hAnsi="Times New Roman"/>
          <w:b w:val="0"/>
          <w:color w:val="0070C0"/>
          <w:sz w:val="24"/>
        </w:rPr>
        <w:t>So sánh GAD-7 và DISC-5 trên cùng mẫu. Phân tích giới tính chi tiết. Nghiên cứu dọc theo dõi sau 2–3 năm. Đánh giá hiệu quả can thiệp tại trường.</w:t>
      </w:r>
    </w:p>
    <w:p>
      <w:r>
        <w:rPr>
          <w:rFonts w:ascii="Times New Roman" w:hAnsi="Times New Roman"/>
          <w:b/>
          <w:sz w:val="24"/>
        </w:rPr>
        <w:t>Đánh giá: ⭐⭐⭐⭐⭐ Rất cao. Khảo sát quốc gia đầu tiên, DISC-5/DSM-5, n=5.996, 38 tỉnh.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