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Thực trạng nguy cơ stress, lo âu, trầm cảm của học sinh THPT huyện Yên Định, Thanh Hóa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nguy cơ stress, lo âu, trầm cảm của HS THPT huyện Yên Định, Thanh Hóa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Nguyễn Danh Lâm, Lê Minh Giang, Nguyễn Thị Phương Mai, Nguyễn Thị Diệu Thúy, Nguyễn Thị Thanh Mai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BV huyện Yên Định; ĐH Y Hà Nội; ĐH Y Dược ĐH Thái Nguyên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516, Số 1, tháng 7/2022, tr. 67–70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482 HS THPT (2 trường), 9/2021,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Vùng bán đô thị Thanh Hóa — ít NC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Stress 41,7%, lo âu 49,0%, trầm cảm 43,6% — mức trung bình-cao.</w:t>
      </w:r>
    </w:p>
    <w:p>
      <w:r>
        <w:rPr>
          <w:rFonts w:ascii="Times New Roman" w:hAnsi="Times New Roman"/>
          <w:b w:val="0"/>
          <w:i w:val="0"/>
          <w:sz w:val="24"/>
        </w:rPr>
        <w:t>• Dữ liệu tự hại: 10% đã tự làm đau, 1,4% đã cố tự tử — đáng báo động.</w:t>
      </w:r>
    </w:p>
    <w:p>
      <w:r>
        <w:rPr>
          <w:rFonts w:ascii="Times New Roman" w:hAnsi="Times New Roman"/>
          <w:b w:val="0"/>
          <w:i w:val="0"/>
          <w:sz w:val="24"/>
        </w:rPr>
        <w:t>• 25% đã từng nghĩ đến tự tử — cao hơn nhiều NC khác.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2 trường (chọn mẫu có chủ đích), không ngẫu nhiên.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có phân tích yếu tố liên quan (hồi quy).</w:t>
      </w:r>
    </w:p>
    <w:p>
      <w:r>
        <w:rPr>
          <w:rFonts w:ascii="Times New Roman" w:hAnsi="Times New Roman"/>
          <w:b w:val="0"/>
          <w:i w:val="0"/>
          <w:sz w:val="24"/>
        </w:rPr>
        <w:t>• Tạp chí Y học VN — không PubMed/Scopus. Bài chỉ 4 trang — thiếu chi tiết.</w:t>
      </w:r>
    </w:p>
    <w:p>
      <w:r>
        <w:rPr>
          <w:rFonts w:ascii="Times New Roman" w:hAnsi="Times New Roman"/>
          <w:b w:val="0"/>
          <w:i w:val="0"/>
          <w:sz w:val="24"/>
        </w:rPr>
        <w:t>• Không phân tích giới tính, khối lớp chi tiết.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67–70, TC Y học Việt Nam, Tập 516, 7/2022 ---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16,0%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14,1%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6,8%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4,8%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7,7%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24,5%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8,1%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4,6%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43,6%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27,2%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2,9%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1,2%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hại / Tự tử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Chưa bao giờ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nghĩ đến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thực hiện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làm đau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58,4%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31,6%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10,0%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75,0%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23,6%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1,4%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Vùng bán đô thị Thanh Hóa — lấp khoảng trống giữa đô thị và nông thôn.</w:t>
      </w:r>
    </w:p>
    <w:p>
      <w:r>
        <w:rPr>
          <w:rFonts w:ascii="Times New Roman" w:hAnsi="Times New Roman"/>
          <w:b w:val="0"/>
          <w:color w:val="FF0000"/>
          <w:sz w:val="24"/>
        </w:rPr>
        <w:t>2. Dữ liệu tự hại/tự tử quan trọng — 10% đã tự làm đau, 1,4% cố tự tử.</w:t>
      </w:r>
    </w:p>
    <w:p>
      <w:r>
        <w:rPr>
          <w:rFonts w:ascii="Times New Roman" w:hAnsi="Times New Roman"/>
          <w:b w:val="0"/>
          <w:color w:val="FF0000"/>
          <w:sz w:val="24"/>
        </w:rPr>
        <w:t>3. DASS-21 tiếng Việt đã được xác thực (Thach et al., 2013).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Chọn mẫu có chủ đích (2 trường) — không ngẫu nhiên, thiên lệch.</w:t>
      </w:r>
    </w:p>
    <w:p>
      <w:r>
        <w:rPr>
          <w:rFonts w:ascii="Times New Roman" w:hAnsi="Times New Roman"/>
          <w:b w:val="0"/>
          <w:color w:val="FF0000"/>
          <w:sz w:val="24"/>
        </w:rPr>
        <w:t>2. Chỉ thống kê mô tả — KHÔNG phân tích yếu tố liên quan.</w:t>
      </w:r>
    </w:p>
    <w:p>
      <w:r>
        <w:rPr>
          <w:rFonts w:ascii="Times New Roman" w:hAnsi="Times New Roman"/>
          <w:b w:val="0"/>
          <w:color w:val="FF0000"/>
          <w:sz w:val="24"/>
        </w:rPr>
        <w:t>3. Bài chỉ 4 trang — thiếu phần thảo luận sâu, không so sánh giới tính.</w:t>
      </w:r>
    </w:p>
    <w:p>
      <w:r>
        <w:rPr>
          <w:rFonts w:ascii="Times New Roman" w:hAnsi="Times New Roman"/>
          <w:b w:val="0"/>
          <w:color w:val="FF0000"/>
          <w:sz w:val="24"/>
        </w:rPr>
        <w:t>4. Tạp chí không lập chỉ mục quốc tế. Năm xuất bản 2022 nhưng tiêu đề ghi 2024.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Phân tích yếu tố nguy cơ (hồi quy). 2. So sánh giới tính, khối lớp. 3. Can thiệp giảm tự hại.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