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Giải thích khả thi cho xu hướng tăng căng thẳng tâm thần ở thanh thiếu niên Na Uy từ 2011 đến 2024</w:t>
      </w:r>
    </w:p>
    <w:p>
      <w:pPr>
        <w:pStyle w:val="Heading2"/>
      </w:pPr>
      <w:r>
        <w:rPr>
          <w:rFonts w:ascii="Times New Roman" w:hAnsi="Times New Roman"/>
          <w:color w:val="000000"/>
        </w:rPr>
        <w:t>Possible Explanations for the Upward Trend in Mental Distress among Adolescents in Norway from 2011 to 2024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Possible explanations for the upward trend in mental distress among adolescents in Norway from 2011 to 2024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Social Science &amp; Medicine, 2025 (Q1, IF ≈ 5.4)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Quốc gia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Na Uy (Norway)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Số trang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Phân tích xu hướng 13 năm, vai trò trường học + mạng xã hội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Xu hướng 13 năm (2011–2024): căng thẳng tâm thần tăng ở cả nam và nữ VTN Na Uy.</w:t>
      </w:r>
    </w:p>
    <w:p>
      <w:r>
        <w:rPr>
          <w:rFonts w:ascii="Times New Roman" w:hAnsi="Times New Roman"/>
          <w:b w:val="0"/>
          <w:i w:val="0"/>
          <w:sz w:val="24"/>
        </w:rPr>
        <w:t>• Bất mãn với trường học giải thích phần lớn xu hướng tăng.</w:t>
      </w:r>
    </w:p>
    <w:p>
      <w:r>
        <w:rPr>
          <w:rFonts w:ascii="Times New Roman" w:hAnsi="Times New Roman"/>
          <w:b w:val="0"/>
          <w:i w:val="0"/>
          <w:sz w:val="24"/>
        </w:rPr>
        <w:t>• Thời gian dùng mạng xã hội cũng giải thích một phần.</w:t>
      </w:r>
    </w:p>
    <w:p>
      <w:r>
        <w:rPr>
          <w:rFonts w:ascii="Times New Roman" w:hAnsi="Times New Roman"/>
          <w:b w:val="0"/>
          <w:i w:val="0"/>
          <w:sz w:val="24"/>
        </w:rPr>
        <w:t>• Social Science &amp; Medicine Q1 — tạp chí uy tín cao.</w:t>
      </w:r>
    </w:p>
    <w:p>
      <w:r>
        <w:rPr>
          <w:rFonts w:ascii="Times New Roman" w:hAnsi="Times New Roman"/>
          <w:b w:val="0"/>
          <w:i w:val="0"/>
          <w:sz w:val="24"/>
        </w:rPr>
        <w:t>• Hạn chế: Chỉ Na Uy, mô hình giải thích (decomposition) không phải nhân quả.</w:t>
      </w:r>
    </w:p>
    <w:p>
      <w:pPr>
        <w:pStyle w:val="Heading2"/>
      </w:pPr>
      <w:r>
        <w:rPr>
          <w:rFonts w:ascii="Times New Roman" w:hAnsi="Times New Roman"/>
          <w:b/>
          <w:color w:val="FF0000"/>
        </w:rPr>
        <w:t>QUAN ĐIỂM PHẢN BIỆN / CRITICAL REVIEW</w:t>
      </w:r>
    </w:p>
    <w:p>
      <w:r>
        <w:rPr>
          <w:rFonts w:ascii="Times New Roman" w:hAnsi="Times New Roman"/>
          <w:b w:val="0"/>
          <w:color w:val="FF0000"/>
          <w:sz w:val="24"/>
        </w:rPr>
        <w:t>Điểm mạnh: Q1 IF=5.4, xu hướng 13 năm, phân tích decomposition nâng cao.</w:t>
      </w:r>
    </w:p>
    <w:p>
      <w:r>
        <w:rPr>
          <w:rFonts w:ascii="Times New Roman" w:hAnsi="Times New Roman"/>
          <w:b w:val="0"/>
          <w:color w:val="FF0000"/>
          <w:sz w:val="24"/>
        </w:rPr>
        <w:t>Hạn chế: Chỉ Na Uy — không khái quát cho châu Á. Không đo lo âu trực tiếp (đo mental distress chung).</w:t>
      </w:r>
    </w:p>
    <w:p>
      <w:r>
        <w:rPr>
          <w:rFonts w:ascii="Times New Roman" w:hAnsi="Times New Roman"/>
          <w:b w:val="0"/>
          <w:color w:val="FF0000"/>
          <w:sz w:val="24"/>
        </w:rPr>
        <w:t>Gap: So sánh xu hướng Na Uy với Việt Nam/châu Á. Đánh giá can thiệp giảm mạng xã hội.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