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  <w:color w:val="000000"/>
        </w:rPr>
        <w:t>Sức khỏe tâm thần của trẻ em và thanh niên trong khu vực WHO châu Âu</w:t>
      </w:r>
    </w:p>
    <w:p>
      <w:pPr>
        <w:pStyle w:val="Heading2"/>
      </w:pPr>
      <w:r>
        <w:rPr>
          <w:rFonts w:ascii="Times New Roman" w:hAnsi="Times New Roman"/>
          <w:color w:val="000000"/>
        </w:rPr>
        <w:t>Mental Health of Children and Young People in the WHO Europe Region</w:t>
      </w:r>
    </w:p>
    <w:p>
      <w:pPr>
        <w:pStyle w:val="Heading2"/>
      </w:pPr>
      <w:r>
        <w:rPr>
          <w:rFonts w:ascii="Times New Roman" w:hAnsi="Times New Roman"/>
          <w:color w:val="000000"/>
        </w:rPr>
        <w:t>THÔNG TIN THƯ MỤC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Tiêu đề gốc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Mental health of children and young people in the WHO Europe region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Tạp chí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The Lancet Regional Health — Europe, 2025 (Q1, IF ≈ 15.0)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Quốc gia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Toàn bộ khu vực WHO châu Âu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Số trang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13</w:t>
            </w:r>
          </w:p>
        </w:tc>
      </w:tr>
      <w:tr>
        <w:tc>
          <w:tcPr>
            <w:tcW w:type="dxa" w:w="4702"/>
            <w:tcW w:w="1984" w:type="dxa"/>
            <w:shd w:fill="D9E2F3" w:val="clear"/>
          </w:tcPr>
          <w:p>
            <w:r>
              <w:rPr>
                <w:rFonts w:ascii="Times New Roman" w:hAnsi="Times New Roman"/>
                <w:b/>
                <w:sz w:val="20"/>
              </w:rPr>
              <w:t>Đặc điểm</w:t>
            </w:r>
          </w:p>
        </w:tc>
        <w:tc>
          <w:tcPr>
            <w:tcW w:type="dxa" w:w="4702"/>
            <w:tcW w:w="7087" w:type="dxa"/>
          </w:tcPr>
          <w:p>
            <w:r>
              <w:rPr>
                <w:rFonts w:ascii="Times New Roman" w:hAnsi="Times New Roman"/>
                <w:sz w:val="20"/>
              </w:rPr>
              <w:t>Tổng quan toàn diện, 9 triệu VTN châu Âu có rối loạn SKTT</w:t>
            </w:r>
          </w:p>
        </w:tc>
      </w:tr>
    </w:tbl>
    <w:p>
      <w:pPr>
        <w:pStyle w:val="Heading2"/>
      </w:pPr>
      <w:r>
        <w:rPr>
          <w:rFonts w:ascii="Times New Roman" w:hAnsi="Times New Roman"/>
          <w:color w:val="000000"/>
        </w:rPr>
        <w:t>TÓM TẮT ĐÁNH GIÁ NHANH</w:t>
      </w:r>
    </w:p>
    <w:p>
      <w:r>
        <w:rPr>
          <w:rFonts w:ascii="Times New Roman" w:hAnsi="Times New Roman"/>
          <w:b/>
          <w:i w:val="0"/>
          <w:sz w:val="24"/>
        </w:rPr>
        <w:t>• Lancet Regional Health Europe — tạp chí uy tín rất cao (IF ≈ 15,0).</w:t>
      </w:r>
    </w:p>
    <w:p>
      <w:r>
        <w:rPr>
          <w:rFonts w:ascii="Times New Roman" w:hAnsi="Times New Roman"/>
          <w:b w:val="0"/>
          <w:i w:val="0"/>
          <w:sz w:val="24"/>
        </w:rPr>
        <w:t>• 9 triệu VTN châu Âu (10–19 tuổi) sống với rối loạn SKTT.</w:t>
      </w:r>
    </w:p>
    <w:p>
      <w:r>
        <w:rPr>
          <w:rFonts w:ascii="Times New Roman" w:hAnsi="Times New Roman"/>
          <w:b w:val="0"/>
          <w:i w:val="0"/>
          <w:sz w:val="24"/>
        </w:rPr>
        <w:t>• Lo âu + trầm cảm chiếm &gt;50% các ca rối loạn.</w:t>
      </w:r>
    </w:p>
    <w:p>
      <w:r>
        <w:rPr>
          <w:rFonts w:ascii="Times New Roman" w:hAnsi="Times New Roman"/>
          <w:b w:val="0"/>
          <w:i w:val="0"/>
          <w:sz w:val="24"/>
        </w:rPr>
        <w:t>• Tổng quan toàn diện cho chính sách — rất phù hợp cho phần Tổng quan tài liệu của Đề tài.</w:t>
      </w:r>
    </w:p>
    <w:p>
      <w:pPr>
        <w:pStyle w:val="Heading2"/>
      </w:pPr>
      <w:r>
        <w:rPr>
          <w:rFonts w:ascii="Times New Roman" w:hAnsi="Times New Roman"/>
          <w:b/>
          <w:color w:val="FF0000"/>
        </w:rPr>
        <w:t>QUAN ĐIỂM PHẢN BIỆN / CRITICAL REVIEW</w:t>
      </w:r>
    </w:p>
    <w:p>
      <w:r>
        <w:rPr>
          <w:rFonts w:ascii="Times New Roman" w:hAnsi="Times New Roman"/>
          <w:b w:val="0"/>
          <w:color w:val="FF0000"/>
          <w:sz w:val="24"/>
        </w:rPr>
        <w:t>Điểm mạnh: Lancet Q1 IF=15, phạm vi toàn châu Âu, hướng chính sách.</w:t>
      </w:r>
    </w:p>
    <w:p>
      <w:r>
        <w:rPr>
          <w:rFonts w:ascii="Times New Roman" w:hAnsi="Times New Roman"/>
          <w:b w:val="0"/>
          <w:color w:val="FF0000"/>
          <w:sz w:val="24"/>
        </w:rPr>
        <w:t>Hạn chế: Tổng quan chính sách, không phải nghiên cứu gốc — thiếu số liệu cụ thể tại từng nước.</w:t>
      </w:r>
    </w:p>
    <w:p>
      <w:r>
        <w:rPr>
          <w:rFonts w:ascii="Times New Roman" w:hAnsi="Times New Roman"/>
          <w:b w:val="0"/>
          <w:color w:val="FF0000"/>
          <w:sz w:val="24"/>
        </w:rPr>
        <w:t>Gap: So sánh mô hình can thiệp châu Âu với ASEAN/Việt Nam.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