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Sử dụng mạng xã hội ở thanh thiếu niên có và không có tình trạng sức khỏe tâm thần</w:t>
      </w:r>
    </w:p>
    <w:p>
      <w:pPr>
        <w:pStyle w:val="Heading2"/>
      </w:pPr>
      <w:r>
        <w:rPr>
          <w:rFonts w:ascii="Times New Roman" w:hAnsi="Times New Roman"/>
          <w:color w:val="000000"/>
        </w:rPr>
        <w:t>Social Media Use in Adolescents with and without Mental Health Conditions</w:t>
      </w:r>
    </w:p>
    <w:p>
      <w:pPr>
        <w:pStyle w:val="Heading2"/>
      </w:pPr>
      <w:r>
        <w:rPr>
          <w:rFonts w:ascii="Times New Roman" w:hAnsi="Times New Roman"/>
          <w:color w:val="000000"/>
        </w:rPr>
        <w:t>THÔNG TIN THƯ MỤC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Tiêu đề gốc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Social media use in adolescents with and without mental health conditions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Tạp chí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Nature Human Behaviour, Vol. 9, June 2025, pp. 1283–1299 (Q1, IF ≈ 24.0)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Quốc gia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Vương quốc Anh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Số trang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21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Đặc điểm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So sánh VTN có/không rối loạn TT về hành vi mạng xã hội. Nature — IF cực cao.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TÓM TẮT ĐÁNH GIÁ NHANH</w:t>
      </w:r>
    </w:p>
    <w:p>
      <w:r>
        <w:rPr>
          <w:rFonts w:ascii="Times New Roman" w:hAnsi="Times New Roman"/>
          <w:b/>
          <w:i w:val="0"/>
          <w:sz w:val="24"/>
        </w:rPr>
        <w:t>• Nature Human Behaviour — IF ≈ 24,0, tạp chí TOP toàn cầu.</w:t>
      </w:r>
    </w:p>
    <w:p>
      <w:r>
        <w:rPr>
          <w:rFonts w:ascii="Times New Roman" w:hAnsi="Times New Roman"/>
          <w:b w:val="0"/>
          <w:i w:val="0"/>
          <w:sz w:val="24"/>
        </w:rPr>
        <w:t>• VTN có rối loạn SKTT dùng mạng xã hội nhiều hơn và ít hài lòng hơn.</w:t>
      </w:r>
    </w:p>
    <w:p>
      <w:r>
        <w:rPr>
          <w:rFonts w:ascii="Times New Roman" w:hAnsi="Times New Roman"/>
          <w:b w:val="0"/>
          <w:i w:val="0"/>
          <w:sz w:val="24"/>
        </w:rPr>
        <w:t>• Nghiên cứu tại Anh, quốc gia đại diện (N = 3.340, 11–19 tuổi).</w:t>
      </w:r>
    </w:p>
    <w:p>
      <w:r>
        <w:rPr>
          <w:rFonts w:ascii="Times New Roman" w:hAnsi="Times New Roman"/>
          <w:b w:val="0"/>
          <w:i w:val="0"/>
          <w:sz w:val="24"/>
        </w:rPr>
        <w:t>• Bao gồm đánh giá chẩn đoán bởi chuyên gia lâm sàng.</w:t>
      </w:r>
    </w:p>
    <w:p>
      <w:r>
        <w:rPr>
          <w:rFonts w:ascii="Times New Roman" w:hAnsi="Times New Roman"/>
          <w:b w:val="0"/>
          <w:i w:val="0"/>
          <w:sz w:val="24"/>
        </w:rPr>
        <w:t>• Phù hợp với Chen 2023 (game OR=5,00) và Hoàng Trung Học 2025 (điện tử Beta=0,176).</w:t>
      </w:r>
    </w:p>
    <w:p>
      <w:pPr>
        <w:pStyle w:val="Heading2"/>
      </w:pPr>
      <w:r>
        <w:rPr>
          <w:rFonts w:ascii="Times New Roman" w:hAnsi="Times New Roman"/>
          <w:b/>
          <w:color w:val="FF0000"/>
        </w:rPr>
        <w:t>QUAN ĐIỂM PHẢN BIỆN / CRITICAL REVIEW</w:t>
      </w:r>
    </w:p>
    <w:p>
      <w:r>
        <w:rPr>
          <w:rFonts w:ascii="Times New Roman" w:hAnsi="Times New Roman"/>
          <w:b w:val="0"/>
          <w:color w:val="FF0000"/>
          <w:sz w:val="24"/>
        </w:rPr>
        <w:t>Điểm mạnh: Nature Q1 IF=24, mẫu quốc gia UK, chẩn đoán lâm sàng, thiết kế mạnh.</w:t>
      </w:r>
    </w:p>
    <w:p>
      <w:r>
        <w:rPr>
          <w:rFonts w:ascii="Times New Roman" w:hAnsi="Times New Roman"/>
          <w:b w:val="0"/>
          <w:color w:val="FF0000"/>
          <w:sz w:val="24"/>
        </w:rPr>
        <w:t>Hạn chế: Chỉ UK — khác biệt văn hóa với châu Á. Cắt ngang — không suy luận nhân quả.</w:t>
      </w:r>
    </w:p>
    <w:p>
      <w:r>
        <w:rPr>
          <w:rFonts w:ascii="Times New Roman" w:hAnsi="Times New Roman"/>
          <w:b w:val="0"/>
          <w:color w:val="FF0000"/>
          <w:sz w:val="24"/>
        </w:rPr>
        <w:t>Gap: Nghiên cứu tương tự tại VN so sánh VTN có/không SKTT về hành vi mạng xã hội.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