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Phương pháp tiếp cận hiện tại và tương lai trong điều trị rối loạn lo âu ở trẻ em</w:t>
      </w:r>
    </w:p>
    <w:p>
      <w:pPr>
        <w:pStyle w:val="Heading2"/>
      </w:pPr>
      <w:r>
        <w:rPr>
          <w:rFonts w:ascii="Times New Roman" w:hAnsi="Times New Roman"/>
          <w:color w:val="000000"/>
        </w:rPr>
        <w:t>Current and Future Approaches to Pediatric Anxiety Disorder Treatment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Current and Future Approaches to Pediatric Anxiety Disorder Treatment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American Journal of Psychiatry (AJP), 2024 (Q1, IF ≈ 18.0)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Số trang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Tổng quan CBT, thuốc, hướng mới trong điều trị lo âu trẻ em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AJP — tạp chí tâm thần hàng đầu thế giới (IF ≈ 18,0).</w:t>
      </w:r>
    </w:p>
    <w:p>
      <w:r>
        <w:rPr>
          <w:rFonts w:ascii="Times New Roman" w:hAnsi="Times New Roman"/>
          <w:b w:val="0"/>
          <w:i w:val="0"/>
          <w:sz w:val="24"/>
        </w:rPr>
        <w:t>• Tổng quan toàn diện: CBT, SSRI, digital interventions, neuromodulation.</w:t>
      </w:r>
    </w:p>
    <w:p>
      <w:r>
        <w:rPr>
          <w:rFonts w:ascii="Times New Roman" w:hAnsi="Times New Roman"/>
          <w:b w:val="0"/>
          <w:i w:val="0"/>
          <w:sz w:val="24"/>
        </w:rPr>
        <w:t>• CBT hiệu quả 47–66% phục hồi, 57–60% đáp ứng.</w:t>
      </w:r>
    </w:p>
    <w:p>
      <w:r>
        <w:rPr>
          <w:rFonts w:ascii="Times New Roman" w:hAnsi="Times New Roman"/>
          <w:b w:val="0"/>
          <w:i w:val="0"/>
          <w:sz w:val="24"/>
        </w:rPr>
        <w:t>• Phù hợp với Zhameden 2025 (CBT 3/4 trầm cảm, 1/4 lo âu ở LMIC).</w:t>
      </w:r>
    </w:p>
    <w:p>
      <w:r>
        <w:rPr>
          <w:rFonts w:ascii="Times New Roman" w:hAnsi="Times New Roman"/>
          <w:b w:val="0"/>
          <w:i w:val="0"/>
          <w:sz w:val="24"/>
        </w:rPr>
        <w:t>• Hướng mới: can thiệp kỹ thuật số, kích thích thần kinh không xâm lấn.</w:t>
      </w:r>
    </w:p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Điểm mạnh: AJP Q1 IF=18, tổng quan toàn diện cập nhật nhất về điều trị.</w:t>
      </w:r>
    </w:p>
    <w:p>
      <w:r>
        <w:rPr>
          <w:rFonts w:ascii="Times New Roman" w:hAnsi="Times New Roman"/>
          <w:b w:val="0"/>
          <w:color w:val="FF0000"/>
          <w:sz w:val="24"/>
        </w:rPr>
        <w:t>Hạn chế: Tổng quan (review) — không có dữ liệu gốc mới. Chủ yếu từ bối cảnh phương Tây.</w:t>
      </w:r>
    </w:p>
    <w:p>
      <w:r>
        <w:rPr>
          <w:rFonts w:ascii="Times New Roman" w:hAnsi="Times New Roman"/>
          <w:b w:val="0"/>
          <w:color w:val="FF0000"/>
          <w:sz w:val="24"/>
        </w:rPr>
        <w:t>Gap: Đánh giá hiệu quả CBT tại Việt Nam (hiện 0 RCT). Can thiệp kỹ thuật số cho VTN VN.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