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QT-21</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Giải thích khả thi cho xu hướng tăng căng thẳng tâm thần ở thanh thiếu niên Na Uy từ 2011 đến 2024 » (Possible Explanations for the Upward Trend in Mental Distress among Adolescents in Norway from 2011 to 2024), xuất bản trên Social Science &amp; Medicine, 2025 (Q1, IF ≈ 5,4). 10 trang. Phân tích xu hướng 13 năm dữ liệu lặp lại từ khảo sát quốc gia Na Uy.</w:t>
      </w:r>
    </w:p>
    <w:p>
      <w:r>
        <w:rPr>
          <w:rFonts w:ascii="Times New Roman" w:hAnsi="Times New Roman"/>
          <w:b/>
          <w:color w:val="FF0000"/>
          <w:sz w:val="24"/>
        </w:rPr>
        <w:t>Phương pháp nghiên cứu</w:t>
      </w:r>
    </w:p>
    <w:p>
      <w:r>
        <w:rPr>
          <w:rFonts w:ascii="Times New Roman" w:hAnsi="Times New Roman"/>
          <w:b/>
          <w:color w:val="0070C0"/>
          <w:sz w:val="24"/>
        </w:rPr>
        <w:t>Công trình sử dụng phân tích decomposition (phân rã đóng góp) trên dữ liệu cắt ngang lặp lại 2011–2024 từ khảo sát quốc gia VTN Na Uy. Nói cách khác, phương pháp này cho phép tách biệt đóng góp của từng yếu tố (bất mãn trường học, mạng xã hội, v.v.) vào xu hướng tăng tổng thể.</w:t>
      </w:r>
    </w:p>
    <w:p>
      <w:r>
        <w:rPr>
          <w:rFonts w:ascii="Times New Roman" w:hAnsi="Times New Roman"/>
          <w:b/>
          <w:color w:val="0070C0"/>
          <w:sz w:val="24"/>
        </w:rPr>
        <w:t>Tổng quan tài liệu của chúng tôi cho thấy xu hướng tăng căng thẳng tâm thần ở VTN đã được báo cáo tại nhiều nước phương Tây (JAACAP 2024: lo âu tăng gấp đôi tại Mỹ; NSCH 2020: tăng 61%), nhưng các yếu tố giải thích xu hướng này vẫn chưa được làm rõ. Nghiên cứu này ở Na Uy sử dụng phương pháp decomposition để giải đáp câu hỏi đó.</w:t>
      </w:r>
    </w:p>
    <w:p>
      <w:r>
        <w:rPr>
          <w:rFonts w:ascii="Times New Roman" w:hAnsi="Times New Roman"/>
          <w:b/>
          <w:color w:val="FF0000"/>
          <w:sz w:val="24"/>
        </w:rPr>
        <w:t>Kết quả nghiên cứu định lượng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 giải thích</w:t>
            </w:r>
          </w:p>
        </w:tc>
        <w:tc>
          <w:tcPr>
            <w:tcW w:type="dxa" w:w="3135"/>
            <w:tcW w:w="1984" w:type="dxa"/>
            <w:shd w:fill="D9E2F3" w:val="clear"/>
          </w:tcPr>
          <w:p>
            <w:pPr>
              <w:jc w:val="center"/>
            </w:pPr>
            <w:r>
              <w:rPr>
                <w:rFonts w:ascii="Times New Roman" w:hAnsi="Times New Roman"/>
                <w:b/>
                <w:sz w:val="20"/>
              </w:rPr>
              <w:t>Đóng góp vào xu hướng tăng</w:t>
            </w:r>
          </w:p>
        </w:tc>
        <w:tc>
          <w:tcPr>
            <w:tcW w:type="dxa" w:w="3135"/>
            <w:tcW w:w="2268" w:type="dxa"/>
            <w:shd w:fill="D9E2F3" w:val="clear"/>
          </w:tcPr>
          <w:p>
            <w:pPr>
              <w:jc w:val="center"/>
            </w:pPr>
            <w:r>
              <w:rPr>
                <w:rFonts w:ascii="Times New Roman" w:hAnsi="Times New Roman"/>
                <w:b/>
                <w:sz w:val="20"/>
              </w:rPr>
              <w:t>Ý nghĩa</w:t>
            </w:r>
          </w:p>
        </w:tc>
      </w:tr>
      <w:tr>
        <w:tc>
          <w:tcPr>
            <w:tcW w:type="dxa" w:w="3135"/>
            <w:tcW w:w="2551" w:type="dxa"/>
          </w:tcPr>
          <w:p>
            <w:r>
              <w:rPr>
                <w:rFonts w:ascii="Times New Roman" w:hAnsi="Times New Roman"/>
                <w:sz w:val="20"/>
              </w:rPr>
              <w:t>Bất mãn với trường học</w:t>
            </w:r>
          </w:p>
        </w:tc>
        <w:tc>
          <w:tcPr>
            <w:tcW w:type="dxa" w:w="3135"/>
            <w:tcW w:w="1984" w:type="dxa"/>
          </w:tcPr>
          <w:p>
            <w:r>
              <w:rPr>
                <w:rFonts w:ascii="Times New Roman" w:hAnsi="Times New Roman"/>
                <w:sz w:val="20"/>
              </w:rPr>
              <w:t>Lớn nhất</w:t>
            </w:r>
          </w:p>
        </w:tc>
        <w:tc>
          <w:tcPr>
            <w:tcW w:type="dxa" w:w="3135"/>
            <w:tcW w:w="2268" w:type="dxa"/>
          </w:tcPr>
          <w:p>
            <w:r>
              <w:rPr>
                <w:rFonts w:ascii="Times New Roman" w:hAnsi="Times New Roman"/>
                <w:sz w:val="20"/>
              </w:rPr>
              <w:t>Áp lực học tập, môi trường trường học</w:t>
            </w:r>
          </w:p>
        </w:tc>
      </w:tr>
      <w:tr>
        <w:tc>
          <w:tcPr>
            <w:tcW w:type="dxa" w:w="3135"/>
            <w:tcW w:w="2551" w:type="dxa"/>
          </w:tcPr>
          <w:p>
            <w:r>
              <w:rPr>
                <w:rFonts w:ascii="Times New Roman" w:hAnsi="Times New Roman"/>
                <w:sz w:val="20"/>
              </w:rPr>
              <w:t>Thời gian dùng mạng xã hội</w:t>
            </w:r>
          </w:p>
        </w:tc>
        <w:tc>
          <w:tcPr>
            <w:tcW w:type="dxa" w:w="3135"/>
            <w:tcW w:w="1984" w:type="dxa"/>
          </w:tcPr>
          <w:p>
            <w:r>
              <w:rPr>
                <w:rFonts w:ascii="Times New Roman" w:hAnsi="Times New Roman"/>
                <w:sz w:val="20"/>
              </w:rPr>
              <w:t>Đáng kể</w:t>
            </w:r>
          </w:p>
        </w:tc>
        <w:tc>
          <w:tcPr>
            <w:tcW w:type="dxa" w:w="3135"/>
            <w:tcW w:w="2268" w:type="dxa"/>
          </w:tcPr>
          <w:p>
            <w:r>
              <w:rPr>
                <w:rFonts w:ascii="Times New Roman" w:hAnsi="Times New Roman"/>
                <w:sz w:val="20"/>
              </w:rPr>
              <w:t>Phù hợp Nature 2025, Chen 2023</w:t>
            </w:r>
          </w:p>
        </w:tc>
      </w:tr>
      <w:tr>
        <w:tc>
          <w:tcPr>
            <w:tcW w:type="dxa" w:w="3135"/>
            <w:tcW w:w="2551" w:type="dxa"/>
          </w:tcPr>
          <w:p>
            <w:r>
              <w:rPr>
                <w:rFonts w:ascii="Times New Roman" w:hAnsi="Times New Roman"/>
                <w:sz w:val="20"/>
              </w:rPr>
              <w:t>Giới tính</w:t>
            </w:r>
          </w:p>
        </w:tc>
        <w:tc>
          <w:tcPr>
            <w:tcW w:type="dxa" w:w="3135"/>
            <w:tcW w:w="1984" w:type="dxa"/>
          </w:tcPr>
          <w:p>
            <w:r>
              <w:rPr>
                <w:rFonts w:ascii="Times New Roman" w:hAnsi="Times New Roman"/>
                <w:sz w:val="20"/>
              </w:rPr>
              <w:t>Cả nam và nữ đều tăng</w:t>
            </w:r>
          </w:p>
        </w:tc>
        <w:tc>
          <w:tcPr>
            <w:tcW w:type="dxa" w:w="3135"/>
            <w:tcW w:w="2268" w:type="dxa"/>
          </w:tcPr>
          <w:p>
            <w:r>
              <w:rPr>
                <w:rFonts w:ascii="Times New Roman" w:hAnsi="Times New Roman"/>
                <w:sz w:val="20"/>
              </w:rPr>
              <w:t>Nữ tăng nhanh hơn</w:t>
            </w:r>
          </w:p>
        </w:tc>
      </w:tr>
      <w:tr>
        <w:tc>
          <w:tcPr>
            <w:tcW w:type="dxa" w:w="3135"/>
            <w:tcW w:w="2551" w:type="dxa"/>
          </w:tcPr>
          <w:p>
            <w:r>
              <w:rPr>
                <w:rFonts w:ascii="Times New Roman" w:hAnsi="Times New Roman"/>
                <w:sz w:val="20"/>
              </w:rPr>
              <w:t>Xu hướng tổng thể 2011–2024</w:t>
            </w:r>
          </w:p>
        </w:tc>
        <w:tc>
          <w:tcPr>
            <w:tcW w:type="dxa" w:w="3135"/>
            <w:tcW w:w="1984" w:type="dxa"/>
          </w:tcPr>
          <w:p>
            <w:r>
              <w:rPr>
                <w:rFonts w:ascii="Times New Roman" w:hAnsi="Times New Roman"/>
                <w:sz w:val="20"/>
              </w:rPr>
              <w:t>Tăng liên tục 13 năm</w:t>
            </w:r>
          </w:p>
        </w:tc>
        <w:tc>
          <w:tcPr>
            <w:tcW w:type="dxa" w:w="3135"/>
            <w:tcW w:w="2268" w:type="dxa"/>
          </w:tcPr>
          <w:p>
            <w:r>
              <w:rPr>
                <w:rFonts w:ascii="Times New Roman" w:hAnsi="Times New Roman"/>
                <w:sz w:val="20"/>
              </w:rPr>
              <w:t>—</w:t>
            </w:r>
          </w:p>
        </w:tc>
      </w:tr>
    </w:tbl>
    <w:p/>
    <w:p>
      <w:pPr>
        <w:pStyle w:val="Heading3"/>
      </w:pPr>
      <w:r>
        <w:rPr>
          <w:rFonts w:ascii="Times New Roman" w:hAnsi="Times New Roman"/>
          <w:color w:val="0070C0"/>
        </w:rPr>
        <w:t>Đối chiếu liên bài : Xu hướng tăng lo âu toàn cầu được xác nhận bởi nhiều nguồn: JAACAP 2024 (Mỹ: 9,6% → 19,2%, 8 năm), NSCH 2020 (Mỹ: tăng 61%, 7 năm), Ireland 2024 (tăng 2012–2019), Korea 2024 (tăng sau COVID). Nghiên cứu Na Uy bổ sung bằng xác định NGUYÊN NHÂN: bất mãn trường học và mạng xã hội.</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*Bất mãn trường học.* Yếu tố giải thích mạnh nhất cho xu hướng tăng, phù hợp với Wen 2020 (áp lực học tập OR = 11,58) và Anderson 2025 (48/52 NC liên kết áp lực học tập với SKTT kém).</w:t>
      </w:r>
    </w:p>
    <w:p>
      <w:r>
        <w:rPr>
          <w:rFonts w:ascii="Times New Roman" w:hAnsi="Times New Roman"/>
          <w:b w:val="0"/>
          <w:color w:val="0070C0"/>
          <w:sz w:val="24"/>
        </w:rPr>
        <w:t>*Mạng xã hội.* Đóng góp đáng kể, phù hợp Nature Human Behaviour 2025 (VTN có rối loạn SKTT dùng MXH nhiều hơn) và JAMA 2024 (screen time ảnh hưởng SKTT trong RCT).</w:t>
      </w:r>
    </w:p>
    <w:p>
      <w:r>
        <w:rPr>
          <w:rFonts w:ascii="Times New Roman" w:hAnsi="Times New Roman"/>
          <w:b/>
          <w:color w:val="FF0000"/>
          <w:sz w:val="24"/>
        </w:rPr>
        <w:t>Kết luận</w:t>
      </w:r>
    </w:p>
    <w:p>
      <w:r>
        <w:rPr>
          <w:rFonts w:ascii="Times New Roman" w:hAnsi="Times New Roman"/>
          <w:b/>
          <w:color w:val="0070C0"/>
          <w:sz w:val="24"/>
        </w:rPr>
        <w:t>Dữ liệu của nghiên cứu này, cho thấy xu hướng tăng liên tục 13 năm ở căng thẳng tâm thần VTN Na Uy, với bất mãn trường học và mạng xã hội là hai yếu tố giải thích chính, gợi ý rằng can thiệp cần nhắm vào cải thiện môi trường trường học và quản lý thời gian mạng xã hội — không chỉ tại Na Uy mà có thể áp dụng cho bối cảnh toàn cầu bao gồm Việt Nam.</w:t>
      </w:r>
    </w:p>
    <w:p>
      <w:pPr>
        <w:pStyle w:val="Heading2"/>
      </w:pPr>
      <w:r>
        <w:rPr>
          <w:rFonts w:ascii="Times New Roman" w:hAnsi="Times New Roman"/>
          <w:color w:val="FF0000"/>
        </w:rPr>
        <w:t>Phản biện</w:t>
      </w:r>
    </w:p>
    <w:p>
      <w:r>
        <w:rPr>
          <w:rFonts w:ascii="Times New Roman" w:hAnsi="Times New Roman"/>
          <w:b w:val="0"/>
          <w:color w:val="0070C0"/>
          <w:sz w:val="24"/>
        </w:rPr>
        <w:t>Social Science &amp; Medicine Q1 IF = 5,4, xu hướng 13 năm, decomposition nâng cao. Tuy nhiên, chỉ Na Uy — khác biệt văn hóa lớn với châu Á. Đo "mental distress" chung, không tách lo âu riêng. Không phải nghiên cứu dọc theo cùng cá nhân.</w:t>
      </w:r>
    </w:p>
    <w:p>
      <w:pPr>
        <w:pStyle w:val="Heading2"/>
      </w:pPr>
      <w:r>
        <w:rPr>
          <w:rFonts w:ascii="Times New Roman" w:hAnsi="Times New Roman"/>
          <w:color w:val="FF0000"/>
        </w:rPr>
        <w:t>Hướng nghiên cứu tiếp theo</w:t>
      </w:r>
    </w:p>
    <w:p>
      <w:r>
        <w:rPr>
          <w:rFonts w:ascii="Times New Roman" w:hAnsi="Times New Roman"/>
          <w:b w:val="0"/>
          <w:color w:val="0070C0"/>
          <w:sz w:val="24"/>
        </w:rPr>
        <w:t>Áp dụng phân tích decomposition cho dữ liệu VN (Hoàng Trung Học 2025 có 2 thời điểm). So sánh xu hướng Na Uy vs VN. Can thiệp giảm bất mãn trường học + kiểm soát MXH.</w:t>
      </w:r>
    </w:p>
    <w:p/>
    <w:p>
      <w:r>
        <w:rPr>
          <w:rFonts w:ascii="Times New Roman" w:hAnsi="Times New Roman"/>
          <w:b/>
          <w:sz w:val="24"/>
        </w:rPr>
        <w:t>Đánh giá chất lượng: ⭐⭐⭐⭐ Cao. Q1 IF = 5,4, xu hướng 13 năm, decomposition xác định nguyên nhân.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