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 bài QT-23</w:t>
      </w:r>
    </w:p>
    <w:p>
      <w:r>
        <w:rPr>
          <w:rFonts w:ascii="Times New Roman" w:hAnsi="Times New Roman"/>
          <w:b/>
          <w:color w:val="FF000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color w:val="0070C0"/>
          <w:sz w:val="24"/>
        </w:rPr>
        <w:t>Công trình nghiên cứu « Xu hướng rối loạn tâm thần ở trẻ em và thanh thiếu niên nhận điều trị trong hệ thống sức khỏe tâm thần công lập Hoa Kỳ » (Trends in Mental Disorders in Children and Adolescents Receiving Treatment in the State Mental Health System), xuất bản trên Journal of the American Academy of Child &amp; Adolescent Psychiatry (JAACAP), 2024 (Q1, IF ≈ 11,0). Dữ liệu Mental Health Client-Level Data 2013–2021, tổng số 13.684.154 hồ sơ. 15 trang.</w:t>
      </w:r>
    </w:p>
    <w:p>
      <w:r>
        <w:rPr>
          <w:rFonts w:ascii="Times New Roman" w:hAnsi="Times New Roman"/>
          <w:b/>
          <w:color w:val="FF0000"/>
          <w:sz w:val="24"/>
        </w:rPr>
        <w:t>Phương pháp nghiên cứu</w:t>
      </w:r>
    </w:p>
    <w:p>
      <w:r>
        <w:rPr>
          <w:rFonts w:ascii="Times New Roman" w:hAnsi="Times New Roman"/>
          <w:b/>
          <w:color w:val="0070C0"/>
          <w:sz w:val="24"/>
        </w:rPr>
        <w:t>Công trình phân tích xu hướng tỷ lệ các rối loạn tâm thần được chẩn đoán trong hệ thống y tế công lập Mỹ, sử dụng dữ liệu hành chính quốc gia 8 năm. Nói cách khác, đây là phân tích xu hướng dựa trên chẩn đoán lâm sàng (không phải sàng lọc) từ hệ thống dịch vụ thực tế.</w:t>
      </w:r>
    </w:p>
    <w:p>
      <w:r>
        <w:rPr>
          <w:rFonts w:ascii="Times New Roman" w:hAnsi="Times New Roman"/>
          <w:b/>
          <w:color w:val="FF0000"/>
          <w:sz w:val="24"/>
        </w:rPr>
        <w:t>Kết quả nghiên cứu định lượng</w:t>
      </w:r>
    </w:p>
    <w:p>
      <w:r>
        <w:rPr>
          <w:rFonts w:ascii="Times New Roman" w:hAnsi="Times New Roman"/>
          <w:b/>
          <w:color w:val="0070C0"/>
          <w:sz w:val="24"/>
        </w:rPr>
        <w:t>Xu hướng rối loạn tâm thần ở trẻ em/VTN Mỹ 2013–2021 (N = 13.684.154 hồ sơ):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Rối loạn</w:t>
            </w:r>
          </w:p>
        </w:tc>
        <w:tc>
          <w:tcPr>
            <w:tcW w:type="dxa" w:w="188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2013</w:t>
            </w:r>
          </w:p>
        </w:tc>
        <w:tc>
          <w:tcPr>
            <w:tcW w:type="dxa" w:w="188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2021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AOR (KTC 95%)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Rối loạn lo âu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9,6%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19,2%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2,17 (1,85–2,55)***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TĂNG GẤP ĐÔI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Rối loạn trầm cảm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13,4%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17,0%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1,20 (1,03–1,41)*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Tăng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Sang chấn/stress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22,7%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27,4%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1,31 (1,09–1,57)**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Tăng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Rối loạn lưỡng cực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↓ Giảm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Rối loạn hành vi/chống đối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↓ Giảm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70C0"/>
        </w:rPr>
        <w:t>Đối chiếu liên bài : Lo âu TĂNG GẤP ĐÔI (9,6% → 19,2%, AOR = 2,17) trong 8 năm — xu hướng mạnh nhất. So sánh: NSCH 2020 (lo âu tăng 61% tại Mỹ, 2016–2023), Norway 2025 (tăng liên tục 13 năm), Korea 2024 (tăng sau COVID). Xu hướng nhất quán toàn cầu.</w:t>
      </w:r>
    </w:p>
    <w:p>
      <w:r>
        <w:rPr>
          <w:rFonts w:ascii="Times New Roman" w:hAnsi="Times New Roman"/>
          <w:b/>
          <w:color w:val="FF000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color w:val="0070C0"/>
          <w:sz w:val="24"/>
        </w:rPr>
        <w:t>*Lo âu — rối loạn tăng nhanh nhất.* AOR = 2,17 vượt trội so với trầm cảm (1,20) và sang chấn (1,31). Nói cách khác, lo âu đang trở thành cuộc khủng hoảng SKTT hàng đầu ở trẻ em/VTN phương Tây.</w:t>
      </w:r>
    </w:p>
    <w:p>
      <w:r>
        <w:rPr>
          <w:rFonts w:ascii="Times New Roman" w:hAnsi="Times New Roman"/>
          <w:b w:val="0"/>
          <w:color w:val="0070C0"/>
          <w:sz w:val="24"/>
        </w:rPr>
        <w:t>*Rối loạn hành vi giảm.* Lưỡng cực và hành vi/chống đối giảm — có thể phản ánh thay đổi thực hành chẩn đoán (từ hành vi hóa sang nội hóa) chứ không chỉ thay đổi tỷ lệ thực.</w:t>
      </w:r>
    </w:p>
    <w:p>
      <w:r>
        <w:rPr>
          <w:rFonts w:ascii="Times New Roman" w:hAnsi="Times New Roman"/>
          <w:b w:val="0"/>
          <w:color w:val="0070C0"/>
          <w:sz w:val="24"/>
        </w:rPr>
        <w:t>*Dữ liệu chẩn đoán lâm sàng.* Khác với sàng lọc (Hoa 2024: 40,6% GAD-7), dữ liệu từ hệ thống điều trị phản ánh tỷ lệ được chẩn đoán thực tế. So sánh với V-NAMHS 2022 (DISC-5: 2,3% chẩn đoán) cho thấy khoảng cách tiếp cận dịch vụ khổng lồ giữa Mỹ và VN.</w:t>
      </w:r>
    </w:p>
    <w:p>
      <w:r>
        <w:rPr>
          <w:rFonts w:ascii="Times New Roman" w:hAnsi="Times New Roman"/>
          <w:b/>
          <w:color w:val="FF0000"/>
          <w:sz w:val="24"/>
        </w:rPr>
        <w:t>Kết luận</w:t>
      </w:r>
    </w:p>
    <w:p>
      <w:r>
        <w:rPr>
          <w:rFonts w:ascii="Times New Roman" w:hAnsi="Times New Roman"/>
          <w:b/>
          <w:color w:val="0070C0"/>
          <w:sz w:val="24"/>
        </w:rPr>
        <w:t>Dữ liệu từ 13,7 triệu hồ sơ lâm sàng Mỹ, cho thấy lo âu tăng gấp đôi (AOR = 2,17) trong 8 năm — xu hướng mạnh nhất trong tất cả rối loạn tâm thần ở trẻ em, gợi ý rằng lo âu đang trở thành ưu tiên SKTT hàng đầu toàn cầu. Tại Việt Nam, nơi chỉ 8,4% VTN tiếp cận dịch vụ, tỷ lệ thực có thể cao hơn nhiều so với báo cáo.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JAACAP Q1 IF = 11 — tạp chí hàng đầu. n = 13,7 triệu hồ sơ lâm sàng, xu hướng 8 năm. Tuy nhiên, chỉ trẻ ĐANG điều trị — thiên lệch chọn (không bao gồm trẻ chưa chẩn đoán). Xu hướng tăng có thể phản ánh tăng phát hiện + tăng thực sự cùng lúc. Chỉ Mỹ — bối cảnh dịch vụ SKTT phát triển, khác VN.</w:t>
      </w:r>
    </w:p>
    <w:p>
      <w:pPr>
        <w:pStyle w:val="Heading2"/>
      </w:pPr>
      <w:r>
        <w:rPr>
          <w:rFonts w:ascii="Times New Roman" w:hAnsi="Times New Roman"/>
          <w:color w:val="FF0000"/>
        </w:rPr>
        <w:t>Hướng nghiên cứu tiếp theo</w:t>
      </w:r>
    </w:p>
    <w:p>
      <w:r>
        <w:rPr>
          <w:rFonts w:ascii="Times New Roman" w:hAnsi="Times New Roman"/>
          <w:b w:val="0"/>
          <w:color w:val="0070C0"/>
          <w:sz w:val="24"/>
        </w:rPr>
        <w:t>Phân tích xu hướng tương tự từ dữ liệu Bệnh viện Nhi TW VN. So sánh hệ thống y tế Mỹ (82,6% tiếp cận) vs VN (8,4%). Đánh giá nguyên nhân xu hướng tăng (phát hiện vs thực sự).</w:t>
      </w:r>
    </w:p>
    <w:p/>
    <w:p>
      <w:r>
        <w:rPr>
          <w:rFonts w:ascii="Times New Roman" w:hAnsi="Times New Roman"/>
          <w:b/>
          <w:sz w:val="24"/>
        </w:rPr>
        <w:t>Đánh giá chất lượng: ⭐⭐⭐⭐⭐ Rất cao. JAACAP Q1 IF = 11, n = 13,7 triệu, xu hướng 8 năm, dữ liệu chẩn đoán lâm sàng.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