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QT-24</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 Sức khỏe tâm thần của trẻ em và thanh niên trong khu vực WHO châu Âu » (Mental Health of Children and Young People in the WHO Europe Region), xuất bản trên The Lancet Regional Health — Europe, 2025 (Q1, IF ≈ 15,0). 13 trang. Tổng quan toàn diện cho chính sách.</w:t>
      </w:r>
    </w:p>
    <w:p>
      <w:r>
        <w:rPr>
          <w:rFonts w:ascii="Times New Roman" w:hAnsi="Times New Roman"/>
          <w:b/>
          <w:color w:val="FF0000"/>
          <w:sz w:val="24"/>
        </w:rPr>
        <w:t>Phương pháp nghiên cứu</w:t>
      </w:r>
    </w:p>
    <w:p>
      <w:r>
        <w:rPr>
          <w:rFonts w:ascii="Times New Roman" w:hAnsi="Times New Roman"/>
          <w:b/>
          <w:color w:val="0070C0"/>
          <w:sz w:val="24"/>
        </w:rPr>
        <w:t>Tổng quan chính sách (policy review) tổng hợp dữ liệu từ nhiều nguồn trong khu vực WHO châu Âu. Nói cách khác, đây không phải nghiên cứu gốc mà là bài phân tích tổng hợp phục vụ hoạch định chính sách.</w:t>
      </w:r>
    </w:p>
    <w:p>
      <w:r>
        <w:rPr>
          <w:rFonts w:ascii="Times New Roman" w:hAnsi="Times New Roman"/>
          <w:b/>
          <w:color w:val="FF0000"/>
          <w:sz w:val="24"/>
        </w:rPr>
        <w:t>Kết quả nghiên cứu định lượng</w:t>
      </w:r>
    </w:p>
    <w:tbl>
      <w:tblPr>
        <w:tblStyle w:val="TableGrid"/>
        <w:tblW w:type="auto" w:w="0"/>
        <w:jc w:val="center"/>
        <w:tblLook w:firstColumn="1" w:firstRow="1" w:lastColumn="0" w:lastRow="0" w:noHBand="0" w:noVBand="1" w:val="04A0"/>
      </w:tblPr>
      <w:tblGrid>
        <w:gridCol w:w="3135"/>
        <w:gridCol w:w="3135"/>
        <w:gridCol w:w="3135"/>
      </w:tblGrid>
      <w:tr>
        <w:tc>
          <w:tcPr>
            <w:tcW w:type="dxa" w:w="3135"/>
            <w:tcW w:w="2268" w:type="dxa"/>
            <w:shd w:fill="D9E2F3" w:val="clear"/>
          </w:tcPr>
          <w:p>
            <w:pPr>
              <w:jc w:val="center"/>
            </w:pPr>
            <w:r>
              <w:rPr>
                <w:rFonts w:ascii="Times New Roman" w:hAnsi="Times New Roman"/>
                <w:b/>
                <w:sz w:val="20"/>
              </w:rPr>
              <w:t>Chỉ số</w:t>
            </w:r>
          </w:p>
        </w:tc>
        <w:tc>
          <w:tcPr>
            <w:tcW w:type="dxa" w:w="3135"/>
            <w:tcW w:w="2551" w:type="dxa"/>
            <w:shd w:fill="D9E2F3" w:val="clear"/>
          </w:tcPr>
          <w:p>
            <w:pPr>
              <w:jc w:val="center"/>
            </w:pPr>
            <w:r>
              <w:rPr>
                <w:rFonts w:ascii="Times New Roman" w:hAnsi="Times New Roman"/>
                <w:b/>
                <w:sz w:val="20"/>
              </w:rPr>
              <w:t>Dữ liệu</w:t>
            </w:r>
          </w:p>
        </w:tc>
        <w:tc>
          <w:tcPr>
            <w:tcW w:type="dxa" w:w="3135"/>
            <w:tcW w:w="1701" w:type="dxa"/>
            <w:shd w:fill="D9E2F3" w:val="clear"/>
          </w:tcPr>
          <w:p>
            <w:pPr>
              <w:jc w:val="center"/>
            </w:pPr>
            <w:r>
              <w:rPr>
                <w:rFonts w:ascii="Times New Roman" w:hAnsi="Times New Roman"/>
                <w:b/>
                <w:sz w:val="20"/>
              </w:rPr>
              <w:t>Nguồn</w:t>
            </w:r>
          </w:p>
        </w:tc>
      </w:tr>
      <w:tr>
        <w:tc>
          <w:tcPr>
            <w:tcW w:type="dxa" w:w="3135"/>
            <w:tcW w:w="2268" w:type="dxa"/>
          </w:tcPr>
          <w:p>
            <w:r>
              <w:rPr>
                <w:rFonts w:ascii="Times New Roman" w:hAnsi="Times New Roman"/>
                <w:sz w:val="20"/>
              </w:rPr>
              <w:t>VTN có rối loạn SKTT</w:t>
            </w:r>
          </w:p>
        </w:tc>
        <w:tc>
          <w:tcPr>
            <w:tcW w:type="dxa" w:w="3135"/>
            <w:tcW w:w="2551" w:type="dxa"/>
          </w:tcPr>
          <w:p>
            <w:r>
              <w:rPr>
                <w:rFonts w:ascii="Times New Roman" w:hAnsi="Times New Roman"/>
                <w:sz w:val="20"/>
              </w:rPr>
              <w:t>9 triệu (10–19 tuổi) châu Âu</w:t>
            </w:r>
          </w:p>
        </w:tc>
        <w:tc>
          <w:tcPr>
            <w:tcW w:type="dxa" w:w="3135"/>
            <w:tcW w:w="1701" w:type="dxa"/>
          </w:tcPr>
          <w:p>
            <w:r>
              <w:rPr>
                <w:rFonts w:ascii="Times New Roman" w:hAnsi="Times New Roman"/>
                <w:sz w:val="20"/>
              </w:rPr>
              <w:t>WHO Europe</w:t>
            </w:r>
          </w:p>
        </w:tc>
      </w:tr>
      <w:tr>
        <w:tc>
          <w:tcPr>
            <w:tcW w:type="dxa" w:w="3135"/>
            <w:tcW w:w="2268" w:type="dxa"/>
          </w:tcPr>
          <w:p>
            <w:r>
              <w:rPr>
                <w:rFonts w:ascii="Times New Roman" w:hAnsi="Times New Roman"/>
                <w:sz w:val="20"/>
              </w:rPr>
              <w:t>Lo âu + trầm cảm</w:t>
            </w:r>
          </w:p>
        </w:tc>
        <w:tc>
          <w:tcPr>
            <w:tcW w:type="dxa" w:w="3135"/>
            <w:tcW w:w="2551" w:type="dxa"/>
          </w:tcPr>
          <w:p>
            <w:r>
              <w:rPr>
                <w:rFonts w:ascii="Times New Roman" w:hAnsi="Times New Roman"/>
                <w:sz w:val="20"/>
              </w:rPr>
              <w:t>&gt;50% tất cả ca rối loạn</w:t>
            </w:r>
          </w:p>
        </w:tc>
        <w:tc>
          <w:tcPr>
            <w:tcW w:type="dxa" w:w="3135"/>
            <w:tcW w:w="1701" w:type="dxa"/>
          </w:tcPr>
          <w:p>
            <w:r>
              <w:rPr>
                <w:rFonts w:ascii="Times New Roman" w:hAnsi="Times New Roman"/>
                <w:sz w:val="20"/>
              </w:rPr>
              <w:t>—</w:t>
            </w:r>
          </w:p>
        </w:tc>
      </w:tr>
      <w:tr>
        <w:tc>
          <w:tcPr>
            <w:tcW w:type="dxa" w:w="3135"/>
            <w:tcW w:w="2268" w:type="dxa"/>
          </w:tcPr>
          <w:p>
            <w:r>
              <w:rPr>
                <w:rFonts w:ascii="Times New Roman" w:hAnsi="Times New Roman"/>
                <w:sz w:val="20"/>
              </w:rPr>
              <w:t>Xu hướng</w:t>
            </w:r>
          </w:p>
        </w:tc>
        <w:tc>
          <w:tcPr>
            <w:tcW w:type="dxa" w:w="3135"/>
            <w:tcW w:w="2551" w:type="dxa"/>
          </w:tcPr>
          <w:p>
            <w:r>
              <w:rPr>
                <w:rFonts w:ascii="Times New Roman" w:hAnsi="Times New Roman"/>
                <w:sz w:val="20"/>
              </w:rPr>
              <w:t>Tăng, đặc biệt sau COVID-19</w:t>
            </w:r>
          </w:p>
        </w:tc>
        <w:tc>
          <w:tcPr>
            <w:tcW w:type="dxa" w:w="3135"/>
            <w:tcW w:w="1701" w:type="dxa"/>
          </w:tcPr>
          <w:p>
            <w:r>
              <w:rPr>
                <w:rFonts w:ascii="Times New Roman" w:hAnsi="Times New Roman"/>
                <w:sz w:val="20"/>
              </w:rPr>
              <w:t>Nhiều khảo sát quốc gia</w:t>
            </w:r>
          </w:p>
        </w:tc>
      </w:tr>
      <w:tr>
        <w:tc>
          <w:tcPr>
            <w:tcW w:type="dxa" w:w="3135"/>
            <w:tcW w:w="2268" w:type="dxa"/>
          </w:tcPr>
          <w:p>
            <w:r>
              <w:rPr>
                <w:rFonts w:ascii="Times New Roman" w:hAnsi="Times New Roman"/>
                <w:sz w:val="20"/>
              </w:rPr>
              <w:t>Giới tính</w:t>
            </w:r>
          </w:p>
        </w:tc>
        <w:tc>
          <w:tcPr>
            <w:tcW w:type="dxa" w:w="3135"/>
            <w:tcW w:w="2551" w:type="dxa"/>
          </w:tcPr>
          <w:p>
            <w:r>
              <w:rPr>
                <w:rFonts w:ascii="Times New Roman" w:hAnsi="Times New Roman"/>
                <w:sz w:val="20"/>
              </w:rPr>
              <w:t>Nữ bị ảnh hưởng nhiều hơn</w:t>
            </w:r>
          </w:p>
        </w:tc>
        <w:tc>
          <w:tcPr>
            <w:tcW w:type="dxa" w:w="3135"/>
            <w:tcW w:w="1701" w:type="dxa"/>
          </w:tcPr>
          <w:p>
            <w:r>
              <w:rPr>
                <w:rFonts w:ascii="Times New Roman" w:hAnsi="Times New Roman"/>
                <w:sz w:val="20"/>
              </w:rPr>
              <w:t>Phù hợp y văn</w:t>
            </w:r>
          </w:p>
        </w:tc>
      </w:tr>
      <w:tr>
        <w:tc>
          <w:tcPr>
            <w:tcW w:type="dxa" w:w="3135"/>
            <w:tcW w:w="2268" w:type="dxa"/>
          </w:tcPr>
          <w:p>
            <w:r>
              <w:rPr>
                <w:rFonts w:ascii="Times New Roman" w:hAnsi="Times New Roman"/>
                <w:sz w:val="20"/>
              </w:rPr>
              <w:t>Yếu tố nguy cơ</w:t>
            </w:r>
          </w:p>
        </w:tc>
        <w:tc>
          <w:tcPr>
            <w:tcW w:type="dxa" w:w="3135"/>
            <w:tcW w:w="2551" w:type="dxa"/>
          </w:tcPr>
          <w:p>
            <w:r>
              <w:rPr>
                <w:rFonts w:ascii="Times New Roman" w:hAnsi="Times New Roman"/>
                <w:sz w:val="20"/>
              </w:rPr>
              <w:t>Mạng xã hội, áp lực học tập, nghèo đói</w:t>
            </w:r>
          </w:p>
        </w:tc>
        <w:tc>
          <w:tcPr>
            <w:tcW w:type="dxa" w:w="3135"/>
            <w:tcW w:w="1701" w:type="dxa"/>
          </w:tcPr>
          <w:p>
            <w:r>
              <w:rPr>
                <w:rFonts w:ascii="Times New Roman" w:hAnsi="Times New Roman"/>
                <w:sz w:val="20"/>
              </w:rPr>
              <w:t>Liên quốc gia</w:t>
            </w:r>
          </w:p>
        </w:tc>
      </w:tr>
      <w:tr>
        <w:tc>
          <w:tcPr>
            <w:tcW w:type="dxa" w:w="3135"/>
            <w:tcW w:w="2268" w:type="dxa"/>
          </w:tcPr>
          <w:p>
            <w:r>
              <w:rPr>
                <w:rFonts w:ascii="Times New Roman" w:hAnsi="Times New Roman"/>
                <w:sz w:val="20"/>
              </w:rPr>
              <w:t>Khuyến nghị</w:t>
            </w:r>
          </w:p>
        </w:tc>
        <w:tc>
          <w:tcPr>
            <w:tcW w:type="dxa" w:w="3135"/>
            <w:tcW w:w="2551" w:type="dxa"/>
          </w:tcPr>
          <w:p>
            <w:r>
              <w:rPr>
                <w:rFonts w:ascii="Times New Roman" w:hAnsi="Times New Roman"/>
                <w:sz w:val="20"/>
              </w:rPr>
              <w:t>Tích hợp SKTT vào giáo dục + y tế</w:t>
            </w:r>
          </w:p>
        </w:tc>
        <w:tc>
          <w:tcPr>
            <w:tcW w:type="dxa" w:w="3135"/>
            <w:tcW w:w="1701" w:type="dxa"/>
          </w:tcPr>
          <w:p>
            <w:r>
              <w:rPr>
                <w:rFonts w:ascii="Times New Roman" w:hAnsi="Times New Roman"/>
                <w:sz w:val="20"/>
              </w:rPr>
              <w:t>Chính sách WHO</w:t>
            </w:r>
          </w:p>
        </w:tc>
      </w:tr>
    </w:tbl>
    <w:p/>
    <w:p>
      <w:pPr>
        <w:pStyle w:val="Heading3"/>
      </w:pPr>
      <w:r>
        <w:rPr>
          <w:rFonts w:ascii="Times New Roman" w:hAnsi="Times New Roman"/>
          <w:color w:val="0070C0"/>
        </w:rPr>
        <w:t>Đối chiếu liên bài : Con số 9 triệu VTN châu Âu có rối loạn SKTT cho thấy quy mô vấn đề rất lớn. So sánh: ASEAN có 80,4 triệu ca rối loạn tâm thần (GBD 2025) — gánh nặng lớn hơn gấp nhiều lần do dân số đông hơn và dịch vụ SKTT yếu hơn. Tại VN, chỉ 8,4% tiếp cận dịch vụ so với hệ thống y tế phát triển của châu Âu.</w:t>
      </w:r>
    </w:p>
    <w:p>
      <w:r>
        <w:rPr>
          <w:rFonts w:ascii="Times New Roman" w:hAnsi="Times New Roman"/>
          <w:b/>
          <w:color w:val="FF0000"/>
          <w:sz w:val="24"/>
        </w:rPr>
        <w:t>Nhận xét, phát hiện qua kết quả nghiên cứu</w:t>
      </w:r>
    </w:p>
    <w:p>
      <w:r>
        <w:rPr>
          <w:rFonts w:ascii="Times New Roman" w:hAnsi="Times New Roman"/>
          <w:b w:val="0"/>
          <w:color w:val="0070C0"/>
          <w:sz w:val="24"/>
        </w:rPr>
        <w:t>*Khuyến nghị tích hợp SKTT vào giáo dục.* Phù hợp với phát hiện của Wen 2020 (hỗ trợ SKTT trường OR = 0,562 bảo vệ) và đề xuất của Zhameden 2025 (cần can thiệp tại trường).</w:t>
      </w:r>
    </w:p>
    <w:p>
      <w:r>
        <w:rPr>
          <w:rFonts w:ascii="Times New Roman" w:hAnsi="Times New Roman"/>
          <w:b w:val="0"/>
          <w:color w:val="0070C0"/>
          <w:sz w:val="24"/>
        </w:rPr>
        <w:t>*Lo âu + trầm cảm &gt; 50% ca rối loạn.* Xác nhận lo âu là vấn đề hàng đầu, phù hợp JAACAP 2024 (lo âu tăng gấp đôi) và tất cả NC VN (lo âu luôn cao nhất trong 3 chỉ số DAS).</w:t>
      </w:r>
    </w:p>
    <w:p>
      <w:r>
        <w:rPr>
          <w:rFonts w:ascii="Times New Roman" w:hAnsi="Times New Roman"/>
          <w:b/>
          <w:color w:val="FF0000"/>
          <w:sz w:val="24"/>
        </w:rPr>
        <w:t>Kết luận</w:t>
      </w:r>
    </w:p>
    <w:p>
      <w:r>
        <w:rPr>
          <w:rFonts w:ascii="Times New Roman" w:hAnsi="Times New Roman"/>
          <w:b/>
          <w:color w:val="0070C0"/>
          <w:sz w:val="24"/>
        </w:rPr>
        <w:t>Dữ liệu tổng hợp WHO châu Âu, cho thấy 9 triệu VTN đang sống với rối loạn SKTT và lo âu chiếm &gt; 50% tổng ca, gợi ý rằng tích hợp SKTT vào hệ thống giáo dục và y tế là chiến lược thiết yếu — bài học cho Việt Nam trong bối cảnh xây dựng chương trình SKTT học đường.</w:t>
      </w:r>
    </w:p>
    <w:p>
      <w:pPr>
        <w:pStyle w:val="Heading2"/>
      </w:pPr>
      <w:r>
        <w:rPr>
          <w:rFonts w:ascii="Times New Roman" w:hAnsi="Times New Roman"/>
          <w:color w:val="FF0000"/>
        </w:rPr>
        <w:t>Phản biện</w:t>
      </w:r>
    </w:p>
    <w:p>
      <w:r>
        <w:rPr>
          <w:rFonts w:ascii="Times New Roman" w:hAnsi="Times New Roman"/>
          <w:b w:val="0"/>
          <w:color w:val="0070C0"/>
          <w:sz w:val="24"/>
        </w:rPr>
        <w:t>Lancet Regional Health Europe Q1 IF = 15 — tạp chí uy tín rất cao. Phạm vi toàn châu Âu. Tuy nhiên, tổng quan chính sách, không phải NC gốc — thiếu số liệu cụ thể từng nước. Bối cảnh châu Âu (dịch vụ SKTT phát triển) khác biệt lớn với ASEAN/VN.</w:t>
      </w:r>
    </w:p>
    <w:p>
      <w:pPr>
        <w:pStyle w:val="Heading2"/>
      </w:pPr>
      <w:r>
        <w:rPr>
          <w:rFonts w:ascii="Times New Roman" w:hAnsi="Times New Roman"/>
          <w:color w:val="FF0000"/>
        </w:rPr>
        <w:t>Hướng nghiên cứu tiếp theo</w:t>
      </w:r>
    </w:p>
    <w:p>
      <w:r>
        <w:rPr>
          <w:rFonts w:ascii="Times New Roman" w:hAnsi="Times New Roman"/>
          <w:b w:val="0"/>
          <w:color w:val="0070C0"/>
          <w:sz w:val="24"/>
        </w:rPr>
        <w:t>So sánh mô hình can thiệp châu Âu (school-based) với ASEAN/VN. Đánh giá khả năng áp dụng khuyến nghị WHO cho bối cảnh VN. Tổng quan tương tự cho khu vực ASEAN.</w:t>
      </w:r>
    </w:p>
    <w:p/>
    <w:p>
      <w:r>
        <w:rPr>
          <w:rFonts w:ascii="Times New Roman" w:hAnsi="Times New Roman"/>
          <w:b/>
          <w:sz w:val="24"/>
        </w:rPr>
        <w:t>Đánh giá chất lượng: ⭐⭐⭐⭐⭐ Rất cao. Lancet Q1 IF = 15, phạm vi toàn châu Âu, hướng chính sách.</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