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sức khỏe tâm thần của học sinh THPT tại Hà Nội: Nghiên cứu cắt ngang về trầm cảm, lo âu và căng thẳng » (Mental Health Status of High School Students in Hanoi: A Cross-Sectional Study on Depression, Anxiety, and Stress), do Nguyễn Ngọc Bảo Quyên, Lưu Minh Đức, Vũ Minh Thy, Nguyễn Yến Minh, Nguyễn Châu Anh, Hoàng Lan Vân và Giáp Thị Thanh Tình (2025), thuộc Đại học VinUni và Đại học Y Dược ĐHQG Hà Nội, khảo sát trên 501 học sinh THPT tại Hà Nội (78% nữ) từ tháng 8 đến 12/2023 bằng khảo sát trực tuyến, xuất bản trên Tạp chí Y học Cộng đồng, tập 66, chuyên đề 10, 2025, trang 79–86.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qua khảo sát trực tuyến. Nói cách khác, nghiên cứu sử dụng phương pháp sàng lọc cắt ngang tự báo cáo trực tuyến — với ngưỡng cắt bao gồm cả mức "nhẹ", cho tỷ lệ rất cao.</w:t>
      </w:r>
    </w:p>
    <w:p>
      <w:r>
        <w:rPr>
          <w:rFonts w:ascii="Times New Roman" w:hAnsi="Times New Roman"/>
          <w:b w:val="0"/>
          <w:color w:val="0070C0"/>
          <w:sz w:val="24"/>
        </w:rPr>
        <w:t>DASS-21 là phiên bản rút gọn của thang gốc 42 mục (Lovibond &amp; Lovibond, 1995). Phân tích bằng SPSS 27.0: thống kê mô tả, ANOVA, t-test, chi-square, hồi quy đa biến.</w:t>
      </w:r>
    </w:p>
    <w:p>
      <w:r>
        <w:rPr>
          <w:rFonts w:ascii="Times New Roman" w:hAnsi="Times New Roman"/>
          <w:b/>
          <w:color w:val="0070C0"/>
          <w:sz w:val="24"/>
        </w:rPr>
        <w:t>Tổng quan tài liệu của chúng tôi cho thấy nhiều nghiên cứu tại Việt Nam sử dụng DASS-21 với ngưỡng cắt thấp, cho tỷ lệ rất cao (40–86%). Nghiên cứu này của VinUni — cơ sở đào tạo uy tín — bổ sung dữ liệu cho Hà Nội sau COVID-19 (thu thập 8–12/2023).</w:t>
      </w:r>
    </w:p>
    <w:p>
      <w:r>
        <w:rPr>
          <w:rFonts w:ascii="Times New Roman" w:hAnsi="Times New Roman"/>
          <w:b w:val="0"/>
          <w:color w:val="0070C0"/>
          <w:sz w:val="24"/>
        </w:rPr>
        <w:t>Dữ liệu bao gồm khối lớp (10–12), loại trường (công lập 68%, tư thục 19%, chuyên 13%), giới tính (nam 21,6%, nữ 77,6%, khác 0,8%), sử dụng thuốc và chất kích thích.</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căng thẳng (N = 501, DASS-21):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Mức độ</w:t>
            </w:r>
          </w:p>
        </w:tc>
        <w:tc>
          <w:tcPr>
            <w:tcW w:type="dxa" w:w="2351"/>
            <w:tcW w:w="1701" w:type="dxa"/>
            <w:shd w:fill="D9E2F3" w:val="clear"/>
          </w:tcPr>
          <w:p>
            <w:pPr>
              <w:jc w:val="center"/>
            </w:pPr>
            <w:r>
              <w:rPr>
                <w:rFonts w:ascii="Times New Roman" w:hAnsi="Times New Roman"/>
                <w:b/>
                <w:sz w:val="20"/>
              </w:rPr>
              <w:t>Trầm cảm n (%)</w:t>
            </w:r>
          </w:p>
        </w:tc>
        <w:tc>
          <w:tcPr>
            <w:tcW w:type="dxa" w:w="2351"/>
            <w:tcW w:w="1701" w:type="dxa"/>
            <w:shd w:fill="D9E2F3" w:val="clear"/>
          </w:tcPr>
          <w:p>
            <w:pPr>
              <w:jc w:val="center"/>
            </w:pPr>
            <w:r>
              <w:rPr>
                <w:rFonts w:ascii="Times New Roman" w:hAnsi="Times New Roman"/>
                <w:b/>
                <w:sz w:val="20"/>
              </w:rPr>
              <w:t>Lo âu n (%)</w:t>
            </w:r>
          </w:p>
        </w:tc>
        <w:tc>
          <w:tcPr>
            <w:tcW w:type="dxa" w:w="2351"/>
            <w:tcW w:w="1701" w:type="dxa"/>
            <w:shd w:fill="D9E2F3" w:val="clear"/>
          </w:tcPr>
          <w:p>
            <w:pPr>
              <w:jc w:val="center"/>
            </w:pPr>
            <w:r>
              <w:rPr>
                <w:rFonts w:ascii="Times New Roman" w:hAnsi="Times New Roman"/>
                <w:b/>
                <w:sz w:val="20"/>
              </w:rPr>
              <w:t>Căng thẳng n (%)</w:t>
            </w:r>
          </w:p>
        </w:tc>
      </w:tr>
      <w:tr>
        <w:tc>
          <w:tcPr>
            <w:tcW w:type="dxa" w:w="2351"/>
            <w:tcW w:w="1701" w:type="dxa"/>
          </w:tcPr>
          <w:p>
            <w:r>
              <w:rPr>
                <w:rFonts w:ascii="Times New Roman" w:hAnsi="Times New Roman"/>
                <w:sz w:val="20"/>
              </w:rPr>
              <w:t>Bình thường</w:t>
            </w:r>
          </w:p>
        </w:tc>
        <w:tc>
          <w:tcPr>
            <w:tcW w:type="dxa" w:w="2351"/>
            <w:tcW w:w="1701" w:type="dxa"/>
          </w:tcPr>
          <w:p>
            <w:r>
              <w:rPr>
                <w:rFonts w:ascii="Times New Roman" w:hAnsi="Times New Roman"/>
                <w:sz w:val="20"/>
              </w:rPr>
              <w:t>106 (21,2%)</w:t>
            </w:r>
          </w:p>
        </w:tc>
        <w:tc>
          <w:tcPr>
            <w:tcW w:type="dxa" w:w="2351"/>
            <w:tcW w:w="1701" w:type="dxa"/>
          </w:tcPr>
          <w:p>
            <w:r>
              <w:rPr>
                <w:rFonts w:ascii="Times New Roman" w:hAnsi="Times New Roman"/>
                <w:sz w:val="20"/>
              </w:rPr>
              <w:t>69 (13,8%)</w:t>
            </w:r>
          </w:p>
        </w:tc>
        <w:tc>
          <w:tcPr>
            <w:tcW w:type="dxa" w:w="2351"/>
            <w:tcW w:w="1701" w:type="dxa"/>
          </w:tcPr>
          <w:p>
            <w:r>
              <w:rPr>
                <w:rFonts w:ascii="Times New Roman" w:hAnsi="Times New Roman"/>
                <w:sz w:val="20"/>
              </w:rPr>
              <w:t>117 (23,4%)</w:t>
            </w:r>
          </w:p>
        </w:tc>
      </w:tr>
      <w:tr>
        <w:tc>
          <w:tcPr>
            <w:tcW w:type="dxa" w:w="2351"/>
            <w:tcW w:w="1701" w:type="dxa"/>
          </w:tcPr>
          <w:p>
            <w:r>
              <w:rPr>
                <w:rFonts w:ascii="Times New Roman" w:hAnsi="Times New Roman"/>
                <w:sz w:val="20"/>
              </w:rPr>
              <w:t>Nhẹ</w:t>
            </w:r>
          </w:p>
        </w:tc>
        <w:tc>
          <w:tcPr>
            <w:tcW w:type="dxa" w:w="2351"/>
            <w:tcW w:w="1701" w:type="dxa"/>
          </w:tcPr>
          <w:p>
            <w:r>
              <w:rPr>
                <w:rFonts w:ascii="Times New Roman" w:hAnsi="Times New Roman"/>
                <w:sz w:val="20"/>
              </w:rPr>
              <w:t>78 (15,6%)</w:t>
            </w:r>
          </w:p>
        </w:tc>
        <w:tc>
          <w:tcPr>
            <w:tcW w:type="dxa" w:w="2351"/>
            <w:tcW w:w="1701" w:type="dxa"/>
          </w:tcPr>
          <w:p>
            <w:r>
              <w:rPr>
                <w:rFonts w:ascii="Times New Roman" w:hAnsi="Times New Roman"/>
                <w:sz w:val="20"/>
              </w:rPr>
              <w:t>33 (6,6%)</w:t>
            </w:r>
          </w:p>
        </w:tc>
        <w:tc>
          <w:tcPr>
            <w:tcW w:type="dxa" w:w="2351"/>
            <w:tcW w:w="1701" w:type="dxa"/>
          </w:tcPr>
          <w:p>
            <w:r>
              <w:rPr>
                <w:rFonts w:ascii="Times New Roman" w:hAnsi="Times New Roman"/>
                <w:sz w:val="20"/>
              </w:rPr>
              <w:t>72 (14,4%)</w:t>
            </w:r>
          </w:p>
        </w:tc>
      </w:tr>
      <w:tr>
        <w:tc>
          <w:tcPr>
            <w:tcW w:type="dxa" w:w="2351"/>
            <w:tcW w:w="1701" w:type="dxa"/>
          </w:tcPr>
          <w:p>
            <w:r>
              <w:rPr>
                <w:rFonts w:ascii="Times New Roman" w:hAnsi="Times New Roman"/>
                <w:sz w:val="20"/>
              </w:rPr>
              <w:t>Vừa</w:t>
            </w:r>
          </w:p>
        </w:tc>
        <w:tc>
          <w:tcPr>
            <w:tcW w:type="dxa" w:w="2351"/>
            <w:tcW w:w="1701" w:type="dxa"/>
          </w:tcPr>
          <w:p>
            <w:r>
              <w:rPr>
                <w:rFonts w:ascii="Times New Roman" w:hAnsi="Times New Roman"/>
                <w:sz w:val="20"/>
              </w:rPr>
              <w:t>151 (30,1%)</w:t>
            </w:r>
          </w:p>
        </w:tc>
        <w:tc>
          <w:tcPr>
            <w:tcW w:type="dxa" w:w="2351"/>
            <w:tcW w:w="1701" w:type="dxa"/>
          </w:tcPr>
          <w:p>
            <w:r>
              <w:rPr>
                <w:rFonts w:ascii="Times New Roman" w:hAnsi="Times New Roman"/>
                <w:sz w:val="20"/>
              </w:rPr>
              <w:t>126 (25,1%)</w:t>
            </w:r>
          </w:p>
        </w:tc>
        <w:tc>
          <w:tcPr>
            <w:tcW w:type="dxa" w:w="2351"/>
            <w:tcW w:w="1701" w:type="dxa"/>
          </w:tcPr>
          <w:p>
            <w:r>
              <w:rPr>
                <w:rFonts w:ascii="Times New Roman" w:hAnsi="Times New Roman"/>
                <w:sz w:val="20"/>
              </w:rPr>
              <w:t>120 (24,0%)</w:t>
            </w:r>
          </w:p>
        </w:tc>
      </w:tr>
      <w:tr>
        <w:tc>
          <w:tcPr>
            <w:tcW w:type="dxa" w:w="2351"/>
            <w:tcW w:w="1701" w:type="dxa"/>
          </w:tcPr>
          <w:p>
            <w:r>
              <w:rPr>
                <w:rFonts w:ascii="Times New Roman" w:hAnsi="Times New Roman"/>
                <w:sz w:val="20"/>
              </w:rPr>
              <w:t>Nặng</w:t>
            </w:r>
          </w:p>
        </w:tc>
        <w:tc>
          <w:tcPr>
            <w:tcW w:type="dxa" w:w="2351"/>
            <w:tcW w:w="1701" w:type="dxa"/>
          </w:tcPr>
          <w:p>
            <w:r>
              <w:rPr>
                <w:rFonts w:ascii="Times New Roman" w:hAnsi="Times New Roman"/>
                <w:sz w:val="20"/>
              </w:rPr>
              <w:t>61 (12,2%)</w:t>
            </w:r>
          </w:p>
        </w:tc>
        <w:tc>
          <w:tcPr>
            <w:tcW w:type="dxa" w:w="2351"/>
            <w:tcW w:w="1701" w:type="dxa"/>
          </w:tcPr>
          <w:p>
            <w:r>
              <w:rPr>
                <w:rFonts w:ascii="Times New Roman" w:hAnsi="Times New Roman"/>
                <w:sz w:val="20"/>
              </w:rPr>
              <w:t>87 (17,4%)</w:t>
            </w:r>
          </w:p>
        </w:tc>
        <w:tc>
          <w:tcPr>
            <w:tcW w:type="dxa" w:w="2351"/>
            <w:tcW w:w="1701" w:type="dxa"/>
          </w:tcPr>
          <w:p>
            <w:r>
              <w:rPr>
                <w:rFonts w:ascii="Times New Roman" w:hAnsi="Times New Roman"/>
                <w:sz w:val="20"/>
              </w:rPr>
              <w:t>126 (25,1%)</w:t>
            </w:r>
          </w:p>
        </w:tc>
      </w:tr>
      <w:tr>
        <w:tc>
          <w:tcPr>
            <w:tcW w:type="dxa" w:w="2351"/>
            <w:tcW w:w="1701" w:type="dxa"/>
          </w:tcPr>
          <w:p>
            <w:r>
              <w:rPr>
                <w:rFonts w:ascii="Times New Roman" w:hAnsi="Times New Roman"/>
                <w:sz w:val="20"/>
              </w:rPr>
              <w:t>Rất nặng</w:t>
            </w:r>
          </w:p>
        </w:tc>
        <w:tc>
          <w:tcPr>
            <w:tcW w:type="dxa" w:w="2351"/>
            <w:tcW w:w="1701" w:type="dxa"/>
          </w:tcPr>
          <w:p>
            <w:r>
              <w:rPr>
                <w:rFonts w:ascii="Times New Roman" w:hAnsi="Times New Roman"/>
                <w:sz w:val="20"/>
              </w:rPr>
              <w:t>105 (21,0%)</w:t>
            </w:r>
          </w:p>
        </w:tc>
        <w:tc>
          <w:tcPr>
            <w:tcW w:type="dxa" w:w="2351"/>
            <w:tcW w:w="1701" w:type="dxa"/>
          </w:tcPr>
          <w:p>
            <w:r>
              <w:rPr>
                <w:rFonts w:ascii="Times New Roman" w:hAnsi="Times New Roman"/>
                <w:sz w:val="20"/>
              </w:rPr>
              <w:t>186 (37,1%)</w:t>
            </w:r>
          </w:p>
        </w:tc>
        <w:tc>
          <w:tcPr>
            <w:tcW w:type="dxa" w:w="2351"/>
            <w:tcW w:w="1701" w:type="dxa"/>
          </w:tcPr>
          <w:p>
            <w:r>
              <w:rPr>
                <w:rFonts w:ascii="Times New Roman" w:hAnsi="Times New Roman"/>
                <w:sz w:val="20"/>
              </w:rPr>
              <w:t>66 (13,2%)</w:t>
            </w:r>
          </w:p>
        </w:tc>
      </w:tr>
      <w:tr>
        <w:tc>
          <w:tcPr>
            <w:tcW w:type="dxa" w:w="2351"/>
            <w:tcW w:w="1701" w:type="dxa"/>
          </w:tcPr>
          <w:p>
            <w:r>
              <w:rPr>
                <w:rFonts w:ascii="Times New Roman" w:hAnsi="Times New Roman"/>
                <w:sz w:val="20"/>
              </w:rPr>
              <w:t>Tổng có triệu chứng</w:t>
            </w:r>
          </w:p>
        </w:tc>
        <w:tc>
          <w:tcPr>
            <w:tcW w:type="dxa" w:w="2351"/>
            <w:tcW w:w="1701" w:type="dxa"/>
          </w:tcPr>
          <w:p>
            <w:r>
              <w:rPr>
                <w:rFonts w:ascii="Times New Roman" w:hAnsi="Times New Roman"/>
                <w:sz w:val="20"/>
              </w:rPr>
              <w:t>395 (78,8%)</w:t>
            </w:r>
          </w:p>
        </w:tc>
        <w:tc>
          <w:tcPr>
            <w:tcW w:type="dxa" w:w="2351"/>
            <w:tcW w:w="1701" w:type="dxa"/>
          </w:tcPr>
          <w:p>
            <w:r>
              <w:rPr>
                <w:rFonts w:ascii="Times New Roman" w:hAnsi="Times New Roman"/>
                <w:sz w:val="20"/>
              </w:rPr>
              <w:t>432 (86,2%)</w:t>
            </w:r>
          </w:p>
        </w:tc>
        <w:tc>
          <w:tcPr>
            <w:tcW w:type="dxa" w:w="2351"/>
            <w:tcW w:w="1701" w:type="dxa"/>
          </w:tcPr>
          <w:p>
            <w:r>
              <w:rPr>
                <w:rFonts w:ascii="Times New Roman" w:hAnsi="Times New Roman"/>
                <w:sz w:val="20"/>
              </w:rPr>
              <w:t>384 (76,6%)</w:t>
            </w:r>
          </w:p>
        </w:tc>
      </w:tr>
      <w:tr>
        <w:tc>
          <w:tcPr>
            <w:tcW w:type="dxa" w:w="2351"/>
            <w:tcW w:w="1701" w:type="dxa"/>
          </w:tcPr>
          <w:p>
            <w:r>
              <w:rPr>
                <w:rFonts w:ascii="Times New Roman" w:hAnsi="Times New Roman"/>
                <w:sz w:val="20"/>
              </w:rPr>
              <w:t>Điểm TB ± SD</w:t>
            </w:r>
          </w:p>
        </w:tc>
        <w:tc>
          <w:tcPr>
            <w:tcW w:type="dxa" w:w="2351"/>
            <w:tcW w:w="1701" w:type="dxa"/>
          </w:tcPr>
          <w:p>
            <w:r>
              <w:rPr>
                <w:rFonts w:ascii="Times New Roman" w:hAnsi="Times New Roman"/>
                <w:sz w:val="20"/>
              </w:rPr>
              <w:t>17,71 ± 10,14</w:t>
            </w:r>
          </w:p>
        </w:tc>
        <w:tc>
          <w:tcPr>
            <w:tcW w:type="dxa" w:w="2351"/>
            <w:tcW w:w="1701" w:type="dxa"/>
          </w:tcPr>
          <w:p>
            <w:r>
              <w:rPr>
                <w:rFonts w:ascii="Times New Roman" w:hAnsi="Times New Roman"/>
                <w:sz w:val="20"/>
              </w:rPr>
              <w:t>16,58 ± 8,45</w:t>
            </w:r>
          </w:p>
        </w:tc>
        <w:tc>
          <w:tcPr>
            <w:tcW w:type="dxa" w:w="2351"/>
            <w:tcW w:w="1701" w:type="dxa"/>
          </w:tcPr>
          <w:p>
            <w:r>
              <w:rPr>
                <w:rFonts w:ascii="Times New Roman" w:hAnsi="Times New Roman"/>
                <w:sz w:val="20"/>
              </w:rPr>
              <w:t>22,14 ± 9,04</w:t>
            </w:r>
          </w:p>
        </w:tc>
      </w:tr>
    </w:tbl>
    <w:p/>
    <w:p>
      <w:r>
        <w:rPr>
          <w:rFonts w:ascii="Times New Roman" w:hAnsi="Times New Roman"/>
          <w:b/>
          <w:color w:val="0070C0"/>
          <w:sz w:val="24"/>
        </w:rPr>
        <w:t>So sánh tỷ lệ lo âu với các NC tại Việt Nam: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Nghiên cứu</w:t>
            </w:r>
          </w:p>
        </w:tc>
        <w:tc>
          <w:tcPr>
            <w:tcW w:type="dxa" w:w="2351"/>
            <w:tcW w:w="1134" w:type="dxa"/>
            <w:shd w:fill="D9E2F3" w:val="clear"/>
          </w:tcPr>
          <w:p>
            <w:pPr>
              <w:jc w:val="center"/>
            </w:pPr>
            <w:r>
              <w:rPr>
                <w:rFonts w:ascii="Times New Roman" w:hAnsi="Times New Roman"/>
                <w:b/>
                <w:sz w:val="20"/>
              </w:rPr>
              <w:t>Công cụ</w:t>
            </w:r>
          </w:p>
        </w:tc>
        <w:tc>
          <w:tcPr>
            <w:tcW w:type="dxa" w:w="2351"/>
            <w:tcW w:w="1134" w:type="dxa"/>
            <w:shd w:fill="D9E2F3" w:val="clear"/>
          </w:tcPr>
          <w:p>
            <w:pPr>
              <w:jc w:val="center"/>
            </w:pPr>
            <w:r>
              <w:rPr>
                <w:rFonts w:ascii="Times New Roman" w:hAnsi="Times New Roman"/>
                <w:b/>
                <w:sz w:val="20"/>
              </w:rPr>
              <w:t>Lo âu</w:t>
            </w:r>
          </w:p>
        </w:tc>
        <w:tc>
          <w:tcPr>
            <w:tcW w:type="dxa" w:w="2351"/>
            <w:tcW w:w="1701" w:type="dxa"/>
            <w:shd w:fill="D9E2F3" w:val="clear"/>
          </w:tcPr>
          <w:p>
            <w:pPr>
              <w:jc w:val="center"/>
            </w:pPr>
            <w:r>
              <w:rPr>
                <w:rFonts w:ascii="Times New Roman" w:hAnsi="Times New Roman"/>
                <w:b/>
                <w:sz w:val="20"/>
              </w:rPr>
              <w:t>So với BQ</w:t>
            </w:r>
          </w:p>
        </w:tc>
      </w:tr>
      <w:tr>
        <w:tc>
          <w:tcPr>
            <w:tcW w:type="dxa" w:w="2351"/>
            <w:tcW w:w="2268" w:type="dxa"/>
          </w:tcPr>
          <w:p>
            <w:r>
              <w:rPr>
                <w:rFonts w:ascii="Times New Roman" w:hAnsi="Times New Roman"/>
                <w:sz w:val="20"/>
              </w:rPr>
              <w:t>Bảo Quyên 2025 (bài này)</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86,2%</w:t>
            </w:r>
          </w:p>
        </w:tc>
        <w:tc>
          <w:tcPr>
            <w:tcW w:type="dxa" w:w="2351"/>
            <w:tcW w:w="1701" w:type="dxa"/>
          </w:tcPr>
          <w:p>
            <w:r>
              <w:rPr>
                <w:rFonts w:ascii="Times New Roman" w:hAnsi="Times New Roman"/>
                <w:sz w:val="20"/>
              </w:rPr>
              <w:t>CAO NHẤT</w:t>
            </w:r>
          </w:p>
        </w:tc>
      </w:tr>
      <w:tr>
        <w:tc>
          <w:tcPr>
            <w:tcW w:type="dxa" w:w="2351"/>
            <w:tcW w:w="2268" w:type="dxa"/>
          </w:tcPr>
          <w:p>
            <w:r>
              <w:rPr>
                <w:rFonts w:ascii="Times New Roman" w:hAnsi="Times New Roman"/>
                <w:sz w:val="20"/>
              </w:rPr>
              <w:t>Thảo Vi 2025 (Huế)</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65,8%</w:t>
            </w:r>
          </w:p>
        </w:tc>
        <w:tc>
          <w:tcPr>
            <w:tcW w:type="dxa" w:w="2351"/>
            <w:tcW w:w="1701" w:type="dxa"/>
          </w:tcPr>
          <w:p>
            <w:r>
              <w:rPr>
                <w:rFonts w:ascii="Times New Roman" w:hAnsi="Times New Roman"/>
                <w:sz w:val="20"/>
              </w:rPr>
              <w:t>×0,76</w:t>
            </w:r>
          </w:p>
        </w:tc>
      </w:tr>
      <w:tr>
        <w:tc>
          <w:tcPr>
            <w:tcW w:type="dxa" w:w="2351"/>
            <w:tcW w:w="2268" w:type="dxa"/>
          </w:tcPr>
          <w:p>
            <w:r>
              <w:rPr>
                <w:rFonts w:ascii="Times New Roman" w:hAnsi="Times New Roman"/>
                <w:sz w:val="20"/>
              </w:rPr>
              <w:t>An Giang 2025</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61,2%</w:t>
            </w:r>
          </w:p>
        </w:tc>
        <w:tc>
          <w:tcPr>
            <w:tcW w:type="dxa" w:w="2351"/>
            <w:tcW w:w="1701" w:type="dxa"/>
          </w:tcPr>
          <w:p>
            <w:r>
              <w:rPr>
                <w:rFonts w:ascii="Times New Roman" w:hAnsi="Times New Roman"/>
                <w:sz w:val="20"/>
              </w:rPr>
              <w:t>×0,71</w:t>
            </w:r>
          </w:p>
        </w:tc>
      </w:tr>
      <w:tr>
        <w:tc>
          <w:tcPr>
            <w:tcW w:type="dxa" w:w="2351"/>
            <w:tcW w:w="2268" w:type="dxa"/>
          </w:tcPr>
          <w:p>
            <w:r>
              <w:rPr>
                <w:rFonts w:ascii="Times New Roman" w:hAnsi="Times New Roman"/>
                <w:sz w:val="20"/>
              </w:rPr>
              <w:t>Ngô Anh Vinh 2024 (DTTS)</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54,4%</w:t>
            </w:r>
          </w:p>
        </w:tc>
        <w:tc>
          <w:tcPr>
            <w:tcW w:type="dxa" w:w="2351"/>
            <w:tcW w:w="1701" w:type="dxa"/>
          </w:tcPr>
          <w:p>
            <w:r>
              <w:rPr>
                <w:rFonts w:ascii="Times New Roman" w:hAnsi="Times New Roman"/>
                <w:sz w:val="20"/>
              </w:rPr>
              <w:t>×0,63</w:t>
            </w:r>
          </w:p>
        </w:tc>
      </w:tr>
      <w:tr>
        <w:tc>
          <w:tcPr>
            <w:tcW w:type="dxa" w:w="2351"/>
            <w:tcW w:w="2268" w:type="dxa"/>
          </w:tcPr>
          <w:p>
            <w:r>
              <w:rPr>
                <w:rFonts w:ascii="Times New Roman" w:hAnsi="Times New Roman"/>
                <w:sz w:val="20"/>
              </w:rPr>
              <w:t>Danh Lâm 2022 (Thanh Hóa)</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49,0%</w:t>
            </w:r>
          </w:p>
        </w:tc>
        <w:tc>
          <w:tcPr>
            <w:tcW w:type="dxa" w:w="2351"/>
            <w:tcW w:w="1701" w:type="dxa"/>
          </w:tcPr>
          <w:p>
            <w:r>
              <w:rPr>
                <w:rFonts w:ascii="Times New Roman" w:hAnsi="Times New Roman"/>
                <w:sz w:val="20"/>
              </w:rPr>
              <w:t>×0,57</w:t>
            </w:r>
          </w:p>
        </w:tc>
      </w:tr>
      <w:tr>
        <w:tc>
          <w:tcPr>
            <w:tcW w:type="dxa" w:w="2351"/>
            <w:tcW w:w="2268" w:type="dxa"/>
          </w:tcPr>
          <w:p>
            <w:r>
              <w:rPr>
                <w:rFonts w:ascii="Times New Roman" w:hAnsi="Times New Roman"/>
                <w:sz w:val="20"/>
              </w:rPr>
              <w:t>Hoa 2024 (GAD-7)</w:t>
            </w:r>
          </w:p>
        </w:tc>
        <w:tc>
          <w:tcPr>
            <w:tcW w:type="dxa" w:w="2351"/>
            <w:tcW w:w="1134" w:type="dxa"/>
          </w:tcPr>
          <w:p>
            <w:r>
              <w:rPr>
                <w:rFonts w:ascii="Times New Roman" w:hAnsi="Times New Roman"/>
                <w:sz w:val="20"/>
              </w:rPr>
              <w:t>GAD-7</w:t>
            </w:r>
          </w:p>
        </w:tc>
        <w:tc>
          <w:tcPr>
            <w:tcW w:type="dxa" w:w="2351"/>
            <w:tcW w:w="1134" w:type="dxa"/>
          </w:tcPr>
          <w:p>
            <w:r>
              <w:rPr>
                <w:rFonts w:ascii="Times New Roman" w:hAnsi="Times New Roman"/>
                <w:sz w:val="20"/>
              </w:rPr>
              <w:t>40,6%</w:t>
            </w:r>
          </w:p>
        </w:tc>
        <w:tc>
          <w:tcPr>
            <w:tcW w:type="dxa" w:w="2351"/>
            <w:tcW w:w="1701" w:type="dxa"/>
          </w:tcPr>
          <w:p>
            <w:r>
              <w:rPr>
                <w:rFonts w:ascii="Times New Roman" w:hAnsi="Times New Roman"/>
                <w:sz w:val="20"/>
              </w:rPr>
              <w:t>×0,47</w:t>
            </w:r>
          </w:p>
        </w:tc>
      </w:tr>
      <w:tr>
        <w:tc>
          <w:tcPr>
            <w:tcW w:type="dxa" w:w="2351"/>
            <w:tcW w:w="2268" w:type="dxa"/>
          </w:tcPr>
          <w:p>
            <w:r>
              <w:rPr>
                <w:rFonts w:ascii="Times New Roman" w:hAnsi="Times New Roman"/>
                <w:sz w:val="20"/>
              </w:rPr>
              <w:t>Vĩnh Lộc 2024 (DASS-Y)</w:t>
            </w:r>
          </w:p>
        </w:tc>
        <w:tc>
          <w:tcPr>
            <w:tcW w:type="dxa" w:w="2351"/>
            <w:tcW w:w="1134" w:type="dxa"/>
          </w:tcPr>
          <w:p>
            <w:r>
              <w:rPr>
                <w:rFonts w:ascii="Times New Roman" w:hAnsi="Times New Roman"/>
                <w:sz w:val="20"/>
              </w:rPr>
              <w:t>DASS-Y</w:t>
            </w:r>
          </w:p>
        </w:tc>
        <w:tc>
          <w:tcPr>
            <w:tcW w:type="dxa" w:w="2351"/>
            <w:tcW w:w="1134" w:type="dxa"/>
          </w:tcPr>
          <w:p>
            <w:r>
              <w:rPr>
                <w:rFonts w:ascii="Times New Roman" w:hAnsi="Times New Roman"/>
                <w:sz w:val="20"/>
              </w:rPr>
              <w:t>25,1%</w:t>
            </w:r>
          </w:p>
        </w:tc>
        <w:tc>
          <w:tcPr>
            <w:tcW w:type="dxa" w:w="2351"/>
            <w:tcW w:w="1701" w:type="dxa"/>
          </w:tcPr>
          <w:p>
            <w:r>
              <w:rPr>
                <w:rFonts w:ascii="Times New Roman" w:hAnsi="Times New Roman"/>
                <w:sz w:val="20"/>
              </w:rPr>
              <w:t>×0,29</w:t>
            </w:r>
          </w:p>
        </w:tc>
      </w:tr>
      <w:tr>
        <w:tc>
          <w:tcPr>
            <w:tcW w:type="dxa" w:w="2351"/>
            <w:tcW w:w="2268" w:type="dxa"/>
          </w:tcPr>
          <w:p>
            <w:r>
              <w:rPr>
                <w:rFonts w:ascii="Times New Roman" w:hAnsi="Times New Roman"/>
                <w:sz w:val="20"/>
              </w:rPr>
              <w:t>V-NAMHS 2022 (DISC-5)</w:t>
            </w:r>
          </w:p>
        </w:tc>
        <w:tc>
          <w:tcPr>
            <w:tcW w:type="dxa" w:w="2351"/>
            <w:tcW w:w="1134" w:type="dxa"/>
          </w:tcPr>
          <w:p>
            <w:r>
              <w:rPr>
                <w:rFonts w:ascii="Times New Roman" w:hAnsi="Times New Roman"/>
                <w:sz w:val="20"/>
              </w:rPr>
              <w:t>DISC-5</w:t>
            </w:r>
          </w:p>
        </w:tc>
        <w:tc>
          <w:tcPr>
            <w:tcW w:type="dxa" w:w="2351"/>
            <w:tcW w:w="1134" w:type="dxa"/>
          </w:tcPr>
          <w:p>
            <w:r>
              <w:rPr>
                <w:rFonts w:ascii="Times New Roman" w:hAnsi="Times New Roman"/>
                <w:sz w:val="20"/>
              </w:rPr>
              <w:t>2,3%</w:t>
            </w:r>
          </w:p>
        </w:tc>
        <w:tc>
          <w:tcPr>
            <w:tcW w:type="dxa" w:w="2351"/>
            <w:tcW w:w="1701" w:type="dxa"/>
          </w:tcPr>
          <w:p>
            <w:r>
              <w:rPr>
                <w:rFonts w:ascii="Times New Roman" w:hAnsi="Times New Roman"/>
                <w:sz w:val="20"/>
              </w:rPr>
              <w:t>×0,03</w:t>
            </w:r>
          </w:p>
        </w:tc>
      </w:tr>
    </w:tbl>
    <w:p/>
    <w:p>
      <w:pPr>
        <w:pStyle w:val="Heading3"/>
      </w:pPr>
      <w:r>
        <w:rPr>
          <w:rFonts w:ascii="Times New Roman" w:hAnsi="Times New Roman"/>
          <w:color w:val="0070C0"/>
        </w:rPr>
        <w:t>Khác biệt giới tính : Y văn quốc tế xác nhận nữ &gt; nam về lo âu (McLean, 2011). Nghiên cứu này phù hợp — giới tính liên quan có ý nghĩa cả 3 chỉ số (p &lt; 0,05). Tuy nhiên, mẫu có 78% nữ — thiên lệch nghiêm trọng — nên kết quả giới tính có thể phản ánh đặc điểm mẫu hơn là dân số thực.</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tỷ lệ cực cao và vai trò công cụ đo lường</w:t>
      </w:r>
    </w:p>
    <w:p>
      <w:r>
        <w:rPr>
          <w:rFonts w:ascii="Times New Roman" w:hAnsi="Times New Roman"/>
          <w:b w:val="0"/>
          <w:color w:val="0070C0"/>
          <w:sz w:val="24"/>
        </w:rPr>
        <w:t>*Tỷ lệ lo âu 86,2% — CAO NHẤT trong tất cả NC tại Việt Nam.* DASS-21 với ngưỡng cắt rất thấp (lo âu ≥4) bao gồm cả mức "nhẹ" — 37,1% ở mức "rất nặng" là đáng lo ngại thực sự. Tuy nhiên, so với V-NAMHS 2022 (DISC-5: 2,3%), chênh lệch 37 lần gợi ý phương pháp quyết định kết quả.</w:t>
      </w:r>
    </w:p>
    <w:p>
      <w:r>
        <w:rPr>
          <w:rFonts w:ascii="Times New Roman" w:hAnsi="Times New Roman"/>
          <w:b w:val="0"/>
          <w:color w:val="0070C0"/>
          <w:sz w:val="24"/>
        </w:rPr>
        <w:t>*Thiên lệch giới và tự chọn.* Nữ chiếm 78% mẫu — thiên lệch giới tính nghiêm trọng. Khảo sát trực tuyến — HS có vấn đề SKTT có thể tham gia nhiều hơn (thiên lệch tự chọn). Cỡ mẫu 501 — nhỏ cho Hà Nội (so Hoa 2024: 3.910).</w:t>
      </w:r>
    </w:p>
    <w:p>
      <w:r>
        <w:rPr>
          <w:rFonts w:ascii="Times New Roman" w:hAnsi="Times New Roman"/>
          <w:b w:val="0"/>
          <w:color w:val="0070C0"/>
          <w:sz w:val="24"/>
        </w:rPr>
        <w:t>*Lo âu "rất nặng" 37,1%.* Đây là tỷ lệ rất cao — cần xác nhận bằng chẩn đoán lâm sàng. Nếu sử dụng ngưỡng GAD-7 ≥10 (như Hoa 2024), tỷ lệ có thể giảm đáng kể.</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86,2% — cao nhất trong tất cả nghiên cứu tại Việt Nam — ở 501 HS THPT Hà Nội, gợi ý rằng hoặc DASS-21 với ngưỡng thấp không phù hợp cho sàng lọc dân số chung, hoặc SKTT HS THPT Hà Nội thực sự ở mức báo động cần can thiệp khẩn cấp. Sự chênh lệch 37 lần giữa DASS-21 (86,2%) và DISC-5 (2,3%) nhấn mạnh nhu cầu nghiên cứu so sánh nhiều công cụ trên cùng mẫu — một khoảng trống phương pháp luận then chốt.</w:t>
      </w:r>
    </w:p>
    <w:p>
      <w:pPr>
        <w:pStyle w:val="Heading2"/>
      </w:pPr>
      <w:r>
        <w:rPr>
          <w:rFonts w:ascii="Times New Roman" w:hAnsi="Times New Roman"/>
          <w:color w:val="FF0000"/>
        </w:rPr>
        <w:t>Phản biện</w:t>
      </w:r>
    </w:p>
    <w:p>
      <w:r>
        <w:rPr>
          <w:rFonts w:ascii="Times New Roman" w:hAnsi="Times New Roman"/>
          <w:b w:val="0"/>
          <w:color w:val="0070C0"/>
          <w:sz w:val="24"/>
        </w:rPr>
        <w:t>VinUni — cơ sở đào tạo uy tín, có IRB từ Vinmec, đánh giá cả 3 chỉ số cùng lúc. Tuy nhiên, lo âu 86,2% CỰC CAO — DASS-21 ngưỡng ≥4 bao gồm cả "nhẹ". Nữ 78% mẫu — thiên lệch giới nghiêm trọng, không đại diện HS. Online survey — thiên lệch tự chọn. n = 501 nhỏ (so Hoa 2024: 3.910). Tạp chí YHCĐ không lập chỉ mục quốc tế. Chỉ thống kê đơn biến + hồi quy — chưa rõ loại hồi quy.</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tỷ lệ giới cân bằng. So sánh DASS-21 với GAD-7 hoặc DISC-5 trên cùng mẫu — xác định ngưỡng cắt phù hợp. Can thiệp tại trường THPT Hà Nội. Xuất bản trên tạp chí có chỉ mục quốc tế.</w:t>
      </w:r>
    </w:p>
    <w:p/>
    <w:p>
      <w:r>
        <w:rPr>
          <w:rFonts w:ascii="Times New Roman" w:hAnsi="Times New Roman"/>
          <w:b/>
          <w:sz w:val="24"/>
        </w:rPr>
        <w:t>Đánh giá chất lượng: ⭐⭐ Trung bình-Thấp. VinUni uy tín nhưng tỷ lệ 86,2% cao bất thường, thiên lệch giới 78% nữ, online survey, n = 501 nhỏ, tạp chí không chỉ mục QT.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