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F172A"/>
          <w:sz w:val="27"/>
        </w:rPr>
        <w:t>ĐẶC TẢ USE CASE: UC-08 — QUẢN LÝ KHÁM BỆNH, KẾ HOẠCH ĐIỀU TRỊ VÀ KÊ ĐƠN THUỐC</w:t>
      </w:r>
    </w:p>
    <w:p>
      <w:pPr>
        <w:spacing w:after="240"/>
      </w:pPr>
      <w:r>
        <w:rPr>
          <w:rFonts w:ascii="Calibri" w:hAnsi="Calibri"/>
          <w:i/>
          <w:color w:val="475569"/>
          <w:sz w:val="19"/>
        </w:rPr>
        <w:t>Hệ thống Quản trị &amp; Điều hành Phòng khám Nha khoa Thông minh (CV-DCMS) | Phân hệ Bác sĩ (Người 3)</w:t>
      </w:r>
    </w:p>
    <w:p>
      <w:pPr>
        <w:spacing w:before="160" w:after="120"/>
      </w:pPr>
      <w:r>
        <w:rPr>
          <w:rFonts w:ascii="Calibri" w:hAnsi="Calibri"/>
          <w:b/>
          <w:color w:val="0369A1"/>
          <w:sz w:val="22"/>
        </w:rPr>
        <w:t>4.3.8.1 Đặc tả Use Case chi tiết: UC-08.1</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1"/>
        <w:gridCol w:w="2401"/>
        <w:gridCol w:w="2401"/>
        <w:gridCol w:w="2401"/>
      </w:tblGrid>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Use Case ID</w:t>
            </w:r>
          </w:p>
        </w:tc>
        <w:tc>
          <w:tcPr>
            <w:tcW w:type="dxa" w:w="2401"/>
            <w:tcMar>
              <w:top w:w="80" w:type="dxa"/>
              <w:bottom w:w="80" w:type="dxa"/>
              <w:left w:w="120" w:type="dxa"/>
              <w:right w:w="120" w:type="dxa"/>
            </w:tcMar>
          </w:tcPr>
          <w:p>
            <w:pPr>
              <w:spacing w:line="276" w:lineRule="auto" w:after="40" w:before="20"/>
            </w:pPr>
            <w:r>
              <w:rPr>
                <w:rFonts w:ascii="Calibri" w:hAnsi="Calibri"/>
                <w:b/>
                <w:color w:val="111827"/>
                <w:sz w:val="19"/>
              </w:rPr>
              <w:t>UC-08.1</w:t>
            </w:r>
          </w:p>
        </w:tc>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Use Case Name</w:t>
            </w:r>
          </w:p>
        </w:tc>
        <w:tc>
          <w:tcPr>
            <w:tcW w:type="dxa" w:w="2401"/>
            <w:tcMar>
              <w:top w:w="80" w:type="dxa"/>
              <w:bottom w:w="80" w:type="dxa"/>
              <w:left w:w="120" w:type="dxa"/>
              <w:right w:w="120" w:type="dxa"/>
            </w:tcMar>
          </w:tcPr>
          <w:p>
            <w:pPr>
              <w:spacing w:line="276" w:lineRule="auto" w:after="40" w:before="20"/>
            </w:pPr>
            <w:r>
              <w:rPr>
                <w:rFonts w:ascii="Calibri" w:hAnsi="Calibri"/>
                <w:b/>
                <w:color w:val="111827"/>
                <w:sz w:val="19"/>
              </w:rPr>
              <w:t>Thực hiện Khám lâm sàng, Chẩn đoán Bệnh án ICD-10, Thủ thuật Nha khoa và Hoàn tất ca khám</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Created By</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Người 3 (Bác sĩ Nha khoa - Role 2)</w:t>
            </w:r>
          </w:p>
        </w:tc>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Created Date</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24/10/2026</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Primary Actors</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Bác sĩ Nha khoa (Doctor)</w:t>
            </w:r>
          </w:p>
        </w:tc>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Secondary Actors</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Phụ tá nha khoa / Điều dưỡng, Kế toán</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Description</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Cho phép Bác sĩ nha khoa tiếp nhận bệnh nhân tại ghế điều trị; ghi nhận chỉ số sinh hiệu (huyết áp, mạch), lý do đến khám, bệnh sử hiện tại và đánh dấu tình trạng tổn thương trên sơ đồ 32 răng chuẩn FDI; tra cứu và ghi nhận chẩn đoán bệnh án điện tử (EMR) theo danh mục bệnh quốc tế ICD-10 (phân loại bệnh Chính, bệnh Phụ, hoặc Phân biệt); ghi nhận các thủ thuật nha khoa thực tế đã hoàn thành trên ghế nha (performed_services = COMPLETED) kèm vị trí răng can thiệp, Bác sĩ chính và Phụ tá; và thực hiện nghiệm thu hoàn tất ca khám, kích hoạt cơ chế khóa bất biến bệnh án lâm sàng theo quy tắc BR-EMR-02 đồng thời tự động bàn giao danh mục dịch vụ sang phân hệ Kế toán để lập hóa đơn thu tiền.</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Trigger</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Bác sĩ chọn nút "Vào khám" cho bệnh nhân từ Bảng điều phối ca khám trong ngày (/doctor/daily-visits) hoặc truy cập trực tiếp vào Không gian khám lâm sàng (/doctor/examination/{visitId}/diagnoses).</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Preconditions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PRE-01: Bác sĩ đã đăng nhập vào hệ thống với phiên làm việc hợp lệ và được cấp vai trò Bác sĩ (DOCTOR).</w:t>
              <w:br/>
              <w:t>PRE-02: Lượt khám của bệnh nhân (visit_id) đang ở trạng thái hoạt động (WAITING hoặc IN_EXAM) tại chi nhánh làm việc của Bác sĩ.</w:t>
              <w:br/>
              <w:t>PRE-03: Danh mục dịch vụ kỹ thuật nha khoa (FT02/UC-11) và bộ từ điển mã chẩn đoán ICD-10 đã được khởi tạo và sẵn sàng trong cơ sở dữ liệu.</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Postconditions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Hoàn thành thành công (Successful completion):</w:t>
              <w:br/>
              <w:t>POST-01: Kết quả thăm khám tổng quát, chỉ số sinh hiệu và trạng thái răng trên sơ đồ FDI được lưu trữ vào hồ sơ lượt khám.</w:t>
              <w:br/>
              <w:t>POST-02: Các mã bệnh ICD-10 được lưu vào bệnh án điện tử (bảng examination_diagnoses) với phân loại rõ ràng (Chính / Phụ / Phân biệt).</w:t>
              <w:br/>
              <w:t>POST-03: Các dịch vụ/thủ thuật thực hiện được cập nhật trạng thái COMPLETED, chỉ định đúng Bác sĩ và Phụ tá, làm căn cứ tính phí hóa đơn và ghi nhận hoa hồng kỹ thuật (BR-SVC-01).</w:t>
              <w:br/>
              <w:t>POST-04: Khi Bác sĩ bấm hoàn tất ca khám, trạng thái lượt khám (visits.status) chuyển sang WAITING_PAYMENT, bệnh án EMR bị khóa bất biến (BR-EMR-02 chặn mọi thao tác sửa/xóa), và dữ liệu lập tức hiển thị trên màn hình Lập hóa đơn của Kế toán.</w:t>
              <w:br/>
              <w:br/>
              <w:t>Hoàn thành thất bại (Failed completion):</w:t>
              <w:br/>
              <w:t>POST-05: Khi xảy ra lỗi kiểm tra điều kiện hoặc lỗi kết nối mạng/hệ thống, các thao tác chỉnh sửa bị hủy bỏ (rollback), trạng thái lượt khám giữ nguyên IN_EXAM và không có dữ liệu sai lệch nào được lưu.</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Normal Sequence/Flow</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F1 – Ghi nhận Thăm khám Lâm sàng &amp; Sơ đồ Răng FDI (FT11)</w:t>
              <w:br/>
              <w:t>1. Bác sĩ mở màn hình khám lâm sàng của bệnh nhân.</w:t>
              <w:br/>
              <w:t>2. Hệ thống truy xuất và hiển thị thông tin hành chính, tiền sử bệnh lý toàn thân, tiền sử dị ứng thuốc, chỉ số sinh hiệu và sơ đồ 32 răng vĩnh viễn theo chuẩn FDI.</w:t>
              <w:br/>
              <w:t>3. Bác sĩ nhập lý do đến khám (chief complaint), bệnh sử đợt này, cập nhật các chỉ số sinh hiệu (huyết áp, nhịp mạch) và nhấp chọn các răng có tổn thương trên sơ đồ răng FDI.</w:t>
              <w:br/>
              <w:t>4. Bác sĩ nhấn nút "Lưu thông tin khám".</w:t>
              <w:br/>
              <w:t>5. Hệ thống kiểm tra định dạng dữ liệu, lưu thông tin vào cơ sở dữ liệu và hiển thị thông báo thành công MSG02.</w:t>
              <w:br/>
              <w:br/>
              <w:t>F2 – Tra cứu &amp; Ghi nhận Chẩn đoán Bệnh án EMR theo ICD-10 (FT14)</w:t>
              <w:br/>
              <w:t>1. Bác sĩ chuyển đến khối "Bệnh án &amp; Chẩn đoán EMR".</w:t>
              <w:br/>
              <w:t>2. Bác sĩ nhập từ khóa tên bệnh lý hoặc mã bệnh (Ví dụ: K02, K04, Sâu ngà, Viêm tủy răng) vào ô tìm kiếm.</w:t>
              <w:br/>
              <w:t>3. Hệ thống gửi truy vấn bất đồng bộ đến danh mục ICD-10 và hiển thị danh sách gợi ý kèm mã chuẩn và tên bệnh tiếng Việt theo Bộ Y Tế.</w:t>
              <w:br/>
              <w:t>4. Bác sĩ chọn mã bệnh phù hợp, chọn Loại chẩn đoán (Chính - MAIN, Phụ - SECONDARY, hoặc Phân biệt - DIFFERENTIAL), nhập ghi chú lâm sàng bổ sung và nhấn "Thêm chẩn đoán".</w:t>
              <w:br/>
              <w:t>5. Hệ thống kiểm tra ca khám chưa bị khóa (BR-EMR-02), kiểm tra mã bệnh chưa bị trùng lặp trong cùng lượt khám, lưu bản ghi vào bảng examination_diagnoses và cập nhật danh sách chẩn đoán trên giao diện.</w:t>
              <w:br/>
              <w:br/>
              <w:t>F3 – Ghi nhận &amp; Xác nhận Dịch vụ/Thủ thuật Hoàn tất (FT16)</w:t>
              <w:br/>
              <w:t>1. Bác sĩ chuyển đến khối "Dịch vụ &amp; Thủ thuật thực hiện" và chọn "Thêm dịch vụ".</w:t>
              <w:br/>
              <w:t>2. Bác sĩ chọn thủ thuật từ danh mục dịch vụ, chỉ định vị trí răng can thiệp (bắt buộc với các thủ thuật nhổ răng, trám răng, điều trị tủy theo quy tắc BR-EMR-02), chọn Bác sĩ thực hiện chính và Phụ tá hỗ trợ.</w:t>
              <w:br/>
              <w:t>3. Bác sĩ xác nhận trạng thái hoàn thành (COMPLETED) và nhấn "Lưu thủ thuật".</w:t>
              <w:br/>
              <w:t>4. Hệ thống kiểm tra điều kiện vị trí răng, lưu bản ghi vào performed_services và tự động tính toán tổng số tiền dự kiến của ca điều trị.</w:t>
              <w:br/>
              <w:br/>
              <w:t>F4 – Hoàn tất Ca khám, Khóa Bệnh án Bất biến &amp; Chuyển Thanh toán (BR-EMR-02 / FT21)</w:t>
              <w:br/>
              <w:t>1. Bác sĩ nhấn nút "Hoàn tất ca khám &amp; Chuyển thanh toán" trên thanh điều khiển phiên khám.</w:t>
              <w:br/>
              <w:t>2. Hệ thống hiển thị Modal Checklist kiểm tra điều kiện (#completeExaminationModal) và tự động xác thực:</w:t>
              <w:br/>
              <w:t xml:space="preserve">   (a) Đã có tối thiểu 01 chẩn đoán ICD-10 hợp lệ (Chính hoặc Phụ);</w:t>
              <w:br/>
              <w:t xml:space="preserve">   (b) Đã có tối thiểu 01 dịch vụ kỹ thuật ở trạng thái COMPLETED;</w:t>
              <w:br/>
              <w:t xml:space="preserve">   (c) Tổng hợp số tiền viện phí, số lượng đơn thuốc và lịch hẹn tái khám.</w:t>
              <w:br/>
              <w:t>3. Bác sĩ rà soát danh sách kiểm tra, nhập lời dặn hoặc ghi chú bàn giao cho bộ phận Kế toán/Thu ngân, sau đó nhấn "Xác nhận hoàn tất".</w:t>
              <w:br/>
              <w:t>4. Hệ thống kiểm tra toàn bộ điều kiện hoàn tất, cập nhật trạng thái lượt khám visits.status = 'WAITING_PAYMENT', ghi nhật ký kiểm toán (Audit Log) kèm thời gian và người thực hiện, và kích hoạt cơ chế khóa bất biến BR-EMR-02.</w:t>
              <w:br/>
              <w:t>5. Hệ thống đóng modal, chuyển trạng thái hiển thị sang nhãn "Chờ thanh toán (Đã khóa BR-EMR-02)", làm mờ và vô hiệu hóa toàn bộ các nút Thêm/Sửa/Xóa chẩn đoán, thủ thuật và đơn thuốc, đồng thời hiển thị thông báo thành công MSG02. Dữ liệu dịch vụ hoàn tất lập tức sẵn sàng để Kế toán lập hóa đơn thu tiền.</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Alternative Sequences/Flows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F1.3a – Chỉ ghi nhận ghi chú khám: Bác sĩ chỉ cập nhật lý do khám và sinh hiệu mà không thay đổi sơ đồ răng FDI; hệ thống chỉ lưu các trường có thay đổi.</w:t>
              <w:br/>
              <w:t>F2.4a – Xóa chẩn đoán đã thêm: Khi ca khám chưa hoàn tất (đang ở IN_EXAM), Bác sĩ nhấn nút "Xóa" bên cạnh mã chẩn đoán; hệ thống yêu cầu xác nhận và xóa bản ghi khỏi bệnh án.</w:t>
              <w:br/>
              <w:t>F3.3a – Hủy thủ thuật không thực hiện: Bác sĩ chuyển trạng thái thủ thuật dự kiến sang CANCELLED; hệ thống loại trừ thủ thuật này khỏi danh sách tính viện phí và tính hoa hồng.</w:t>
              <w:br/>
              <w:t>F4.3a – Mở lại ca khám lâm sàng (Reopen Examination): Trường hợp ca khám đang ở trạng thái WAITING_PAYMENT nhưng Kế toán chưa thu tiền và Bác sĩ cần bổ sung chẩn đoán chuyên môn, Bác sĩ nhấn nút "Mở lại khám", nhập lý do mở lại; hệ thống chuyển trạng thái lượt khám về IN_EXAM, tạm gỡ bỏ khóa giao diện để Bác sĩ chỉnh sửa.</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Exception</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F2.5a – Bệnh án đã bị khóa bất biến (BR-EMR-02): Bác sĩ cố gắng thêm hoặc xóa chẩn đoán khi lượt khám đã chuyển sang trạng thái WAITING_PAYMENT hoặc COMPLETED; hệ thống từ chối thao tác, hiển thị thông báo lỗi MSG14 ("Hồ sơ bệnh án đã hoàn tất và bị khóa bất biến theo quy định y tế"), không cho phép sửa đổi dữ liệu.</w:t>
              <w:br/>
              <w:t>F2.5b – Trùng lặp mã chẩn đoán ICD-10: Bác sĩ thêm một mã bệnh đã có trong ca khám hiện tại; hệ thống từ chối và hiển thị thông báo cảnh báo MSG23 ("Mã chẩn đoán này đã được ghi nhận trong bệnh án của ca khám").</w:t>
              <w:br/>
              <w:t>F3.4a – Thiếu vị trí răng can thiệp bắt buộc (BR-EMR-02): Thủ thuật yêu cầu can thiệp răng cụ thể (nhổ răng, trám, lấy tủy) nhưng Bác sĩ chưa chọn răng trên sơ đồ FDI; hệ thống ngăn chặn lưu dữ liệu và hiển thị thông báo lỗi MSG02 ngay dưới trường chọn răng.</w:t>
              <w:br/>
              <w:t>F4.4a – Chưa đáp ứng đủ điều kiện hoàn tất ca khám: Bác sĩ nhấn hoàn tất khi ca khám chưa có chẩn đoán ICD-10 hoặc chưa có bất kỳ dịch vụ nào hoàn thành (COMPLETED); hệ thống đánh dấu đỏ các tiêu chí không đạt trên Modal Checklist, vô hiệu hóa nút xác nhận và yêu cầu Bác sĩ hoàn thành đầy đủ trước khi xuất ca khám.</w:t>
              <w:br/>
              <w:t>E1 – Hết phiên đăng nhập (Session Expired): Trong quá trình thao tác, nếu phiên làm việc hết hạn, hệ thống hiển thị thông báo MSG28 và chuyển hướng về trang Đăng nhập; dữ liệu biểu mẫu chưa lưu được giữ tạm thời trên bộ nhớ trình duyệt client.</w:t>
              <w:br/>
              <w:t>E2 – Lỗi kết nối máy chủ hoặc cơ sở dữ liệu: Hệ thống hiển thị thông báo lỗi hệ thống MSG13, tự động rollback transaction và không ghi nhận dữ liệu hỏng.</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Business Rules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BR-EMR-01, BR-EMR-02, BR-SVC-01, BR-AUD-01</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Non-Functional Requirements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1. Tốc độ tìm kiếm bất đồng bộ danh mục mã bệnh ICD-10 phải phản hồi kết quả trong thời gian dưới 300ms nhằm đảm bảo trải nghiệm thao tác nhanh tại ghế nha.</w:t>
              <w:br/>
              <w:t>2. Thao tác hoàn tất ca khám và kích hoạt khóa bệnh án BR-EMR-02 phải thực thi trong một Database Transaction duy nhất nhằm đảm bảo tính toàn vẹn dữ liệu (ACID).</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Priority</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Cao (High)</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MSG</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MSG01, MSG02, MSG08, MSG13, MSG14, MSG20, MSG23, MSG24, MSG28, MSG29.</w:t>
            </w:r>
          </w:p>
        </w:tc>
      </w:tr>
    </w:tbl>
    <w:p>
      <w:r>
        <w:br w:type="page"/>
      </w:r>
    </w:p>
    <w:p>
      <w:pPr>
        <w:spacing w:before="160" w:after="120"/>
      </w:pPr>
      <w:r>
        <w:rPr>
          <w:rFonts w:ascii="Calibri" w:hAnsi="Calibri"/>
          <w:b/>
          <w:color w:val="0369A1"/>
          <w:sz w:val="22"/>
        </w:rPr>
        <w:t>4.3.8.2 Đặc tả Use Case chi tiết: UC-08.2</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1"/>
        <w:gridCol w:w="2401"/>
        <w:gridCol w:w="2401"/>
        <w:gridCol w:w="2401"/>
      </w:tblGrid>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Use Case ID</w:t>
            </w:r>
          </w:p>
        </w:tc>
        <w:tc>
          <w:tcPr>
            <w:tcW w:type="dxa" w:w="2401"/>
            <w:tcMar>
              <w:top w:w="80" w:type="dxa"/>
              <w:bottom w:w="80" w:type="dxa"/>
              <w:left w:w="120" w:type="dxa"/>
              <w:right w:w="120" w:type="dxa"/>
            </w:tcMar>
          </w:tcPr>
          <w:p>
            <w:pPr>
              <w:spacing w:line="276" w:lineRule="auto" w:after="40" w:before="20"/>
            </w:pPr>
            <w:r>
              <w:rPr>
                <w:rFonts w:ascii="Calibri" w:hAnsi="Calibri"/>
                <w:b/>
                <w:color w:val="111827"/>
                <w:sz w:val="19"/>
              </w:rPr>
              <w:t>UC-08.2</w:t>
            </w:r>
          </w:p>
        </w:tc>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Use Case Name</w:t>
            </w:r>
          </w:p>
        </w:tc>
        <w:tc>
          <w:tcPr>
            <w:tcW w:type="dxa" w:w="2401"/>
            <w:tcMar>
              <w:top w:w="80" w:type="dxa"/>
              <w:bottom w:w="80" w:type="dxa"/>
              <w:left w:w="120" w:type="dxa"/>
              <w:right w:w="120" w:type="dxa"/>
            </w:tcMar>
          </w:tcPr>
          <w:p>
            <w:pPr>
              <w:spacing w:line="276" w:lineRule="auto" w:after="40" w:before="20"/>
            </w:pPr>
            <w:r>
              <w:rPr>
                <w:rFonts w:ascii="Calibri" w:hAnsi="Calibri"/>
                <w:b/>
                <w:color w:val="111827"/>
                <w:sz w:val="19"/>
              </w:rPr>
              <w:t>Quản lý Kế hoạch Điều trị Dài hạn, Kho ảnh Lâm sàng, Kê đơn thuốc và Hẹn tái khám</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Created By</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Người 3 (Bác sĩ Nha khoa - Role 2)</w:t>
            </w:r>
          </w:p>
        </w:tc>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Created Date</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24/10/2026</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Primary Actors</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Bác sĩ Nha khoa (Doctor)</w:t>
            </w:r>
          </w:p>
        </w:tc>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Secondary Actors</w:t>
            </w:r>
          </w:p>
        </w:tc>
        <w:tc>
          <w:tcPr>
            <w:tcW w:type="dxa" w:w="2401"/>
            <w:tcMar>
              <w:top w:w="80" w:type="dxa"/>
              <w:bottom w:w="80" w:type="dxa"/>
              <w:left w:w="120" w:type="dxa"/>
              <w:right w:w="120" w:type="dxa"/>
            </w:tcMar>
          </w:tcPr>
          <w:p>
            <w:pPr>
              <w:spacing w:line="276" w:lineRule="auto" w:after="40" w:before="20"/>
            </w:pPr>
            <w:r>
              <w:rPr>
                <w:rFonts w:ascii="Calibri" w:hAnsi="Calibri"/>
                <w:color w:val="111827"/>
                <w:sz w:val="19"/>
              </w:rPr>
              <w:t>Phụ tá nha khoa, Lễ tân, Bệnh nhân</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Description</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Cho phép Bác sĩ nha khoa thiết lập, cập nhật và theo dõi các kế hoạch điều trị dài hạn nhiều giai đoạn (Chỉnh nha, Cấy ghép Implant, Phục hình răng thẩm mỹ); quản lý các mốc điều trị và dự toán tổng chi phí (BR-PLAN-01); tải lên, phân loại và thực hiện đối chiếu song song ảnh chụp hàm răng Trước và Sau điều trị (Before - After) để đánh giá tiến triển lâm sàng (FT17); kê đơn thuốc điện tử kèm liều dùng, số lượng, cách dùng và lời dặn dò chăm sóc sau thủ thuật (FT18); và thiết lập lịch hẹn tái khám tự động đồng bộ sang phân hệ Tiếp đón của Lễ tân và danh sách nhắc hẹn chăm sóc khách hàng (SCR-18.2 / FT44).</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Trigger</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Bác sĩ chuyển sang các tab chức năng tương ứng ("Kế hoạch điều trị", "Ảnh lâm sàng", "Đơn thuốc", hoặc "Hẹn tái khám") trong màn hình khám bệnh (/doctor/examination/{visitId}/diagnoses).</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Preconditions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PRE-01: Bác sĩ đã đăng nhập hệ thống với tài khoản hợp lệ có vai trò DOCTOR.</w:t>
              <w:br/>
              <w:t>PRE-02: Bệnh nhân đã có hồ sơ y tế trong hệ thống và đang trong lượt khám tích cực hoặc ca điều trị đang theo dõi.</w:t>
              <w:br/>
              <w:t>PRE-03: Danh mục thuốc điều trị và danh mục thủ thuật nha khoa đã được kích hoạt trong hệ thống.</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Postconditions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Hoàn thành thành công (Successful completion):</w:t>
              <w:br/>
              <w:t>POST-01: Kế hoạch điều trị dài hạn và các giai đoạn thực hiện (treatment_plan_stages) được lưu trữ với tổng dự toán viện phí chính xác.</w:t>
              <w:br/>
              <w:t>POST-02: Ảnh chụp lâm sàng được lưu trữ an toàn, gắn đúng thẻ phân loại (BEFORE / DURING / AFTER), liên kết với lượt khám và hiển thị trên bộ công cụ đối chiếu song song.</w:t>
              <w:br/>
              <w:t>POST-03: Đơn thuốc điện tử và lời dặn dò được ban hành, sẵn sàng để in phiếu đơn thuốc và đồng bộ lên cổng thông tin bệnh nhân.</w:t>
              <w:br/>
              <w:t>POST-04: Lịch hẹn tái khám được tạo mới với trạng thái APPOINTED, đồng thời được ghi nhận vào danh sách cần gọi nhắc tái khám (SCR-18.2).</w:t>
              <w:br/>
              <w:br/>
              <w:t>Hoàn thành thất bại (Failed completion):</w:t>
              <w:br/>
              <w:t>POST-05: Khi thông tin không hợp lệ hoặc tệp ảnh bị lỗi, hệ thống từ chối ghi nhận và giữ nguyên trạng thái dữ liệu cũ.</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Normal Sequence/Flow</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F1 – Lập &amp; Quản lý Kế hoạch Điều trị Dài hạn (FT15)</w:t>
              <w:br/>
              <w:t>1. Bác sĩ chọn tab "Kế hoạch &amp; Lộ trình điều trị" và nhấn "Tạo kế hoạch mới".</w:t>
              <w:br/>
              <w:t>2. Bác sĩ nhập tên phác đồ điều trị (Ví dụ: Chỉnh nha mắc cài sứ 2 hàm, Cấy ghép Implant răng 46), ghi chú chẩn đoán tổng thể và dự kiến thời gian hoàn tất.</w:t>
              <w:br/>
              <w:t>3. Bác sĩ tạo các giai đoạn điều trị tuần tự (treatment_plan_stages), thêm các dịch vụ kỹ thuật dự kiến cho từng giai đoạn, chọn vị trí răng can thiệp và thiết lập ngân sách dự kiến.</w:t>
              <w:br/>
              <w:t>4. Hệ thống tự động tính toán tổng chi phí dự toán từ bảng giá dịch vụ niêm yết (theo quy tắc BR-PLAN-01, các dịch vụ trong kế hoạch chỉ là dự toán, chưa được tính vào hóa đơn thu tiền).</w:t>
              <w:br/>
              <w:t>5. Bác sĩ nhấn "Lưu kế hoạch". Hệ thống kiểm tra dữ liệu, lưu kế hoạch ở trạng thái Đã đề xuất (PROPOSED) hoặc Đang thực hiện (IN_PROGRESS) và thông báo thành công MSG02.</w:t>
              <w:br/>
              <w:br/>
              <w:t>F2 – Tải lên, Phân loại &amp; Đối chiếu Song song Ảnh Lâm sàng Before/After (FT17)</w:t>
              <w:br/>
              <w:t>1. Bác sĩ chuyển sang tab "Ảnh lâm sàng" và nhấn nút "Tải ảnh lên".</w:t>
              <w:br/>
              <w:t>2. Bác sĩ chọn tệp ảnh từ máy tính (hoặc thiết bị chụp ảnh tại ghế nha), chọn phân loại giai đoạn điều trị (BEFORE - Trước điều trị, DURING - Trong điều trị, hoặc AFTER - Sau điều trị), chọn góc chụp (Ngoài mặt, Trong miệng, Nụ cười, Khớp cắn) và liên kết với lượt khám hiện tại.</w:t>
              <w:br/>
              <w:t>3. Bác sĩ nhấn "Lưu ảnh". Hệ thống kiểm tra định dạng và dung lượng tệp, tải ảnh lên kho lưu trữ đám mây an toàn, tạo bản ghi trong bảng clinical_photos và cập nhật thư viện ảnh ca khám.</w:t>
              <w:br/>
              <w:t>4. Để đánh giá kết quả điều trị, Bác sĩ chọn tính năng "Đối chiếu ảnh Before - After". Hệ thống mở Modal so sánh song song (Side-by-Side) hiển thị đồng thời ảnh ban đầu và ảnh sau khi điều trị kèm công cụ phóng to/thu nhỏ chi tiết.</w:t>
              <w:br/>
              <w:br/>
              <w:t>F3 – Kê Đơn thuốc Điện tử &amp; Hướng dẫn Chăm sóc Sau điều trị (FT18)</w:t>
              <w:br/>
              <w:t>1. Bác sĩ chuyển sang tab "Đơn thuốc điều trị" và chọn "Kê đơn thuốc".</w:t>
              <w:br/>
              <w:t>2. Bác sĩ tìm kiếm tên thuốc trong danh mục dược phẩm, nhập số lượng, đơn vị tính, liều dùng (sáng/trưa/chiều/tối) và đường dùng (uống sau ăn, ngậm, bôi tại chỗ).</w:t>
              <w:br/>
              <w:t>3. Bác sĩ nhập lời dặn dò hướng dẫn chăm sóc sau thủ thuật (advice_notes) (Ví dụ: Cắn chặt gạc 30 phút, chườm lạnh giảm sưng, kiêng đồ ăn cay nóng trong 24 giờ) và thời hạn sử dụng đơn thuốc.</w:t>
              <w:br/>
              <w:t>4. Bác sĩ nhấn "Lưu đơn thuốc". Hệ thống xác thực tính hợp lệ của đơn thuốc, lưu trữ vào cơ sở dữ liệu và hiển thị bảng đơn thuốc có kèm nút "In đơn thuốc" chuẩn Bộ Y Tế.</w:t>
              <w:br/>
              <w:br/>
              <w:t>F4 – Thiết lập Lịch hẹn Tái khám Sau điều trị (FT18)</w:t>
              <w:br/>
              <w:t>1. Bác sĩ mở khối "Hẹn tái khám" trên giao diện khám bệnh.</w:t>
              <w:br/>
              <w:t>2. Bác sĩ chọn ngày hẹn tái khám dự kiến (followup_date), chọn ca khám (Sáng/Chiều) và ghi chú nội dung chuyên môn cần thực hiện ở lần hẹn tới (Ví dụ: Cắt chỉ vết thương, Thay chun chỉnh nha, Lắp mão răng sứ).</w:t>
              <w:br/>
              <w:t>3. Bác sĩ nhấn "Tạo lịch hẹn tái khám".</w:t>
              <w:br/>
              <w:t>4. Hệ thống kiểm tra ngày hẹn (phải sau ngày khám hiện tại), tạo bản ghi lịch hẹn mới ở trạng thái APPOINTED, đồng thời đồng bộ vào Danh sách bệnh nhân cần nhắc tái khám (SCR-18.2) để bộ phận Lễ tân/CSKH theo dõi liên hệ.</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Alternative Sequences/Flows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F1.3a – Lưu kế hoạch ở dạng Dự thảo (Draft): Bác sĩ lưu kế hoạch ở trạng thái DRAFT khi đang trao đổi phương án với bệnh nhân; kế hoạch chưa kích hoạt giai đoạn điều trị.</w:t>
              <w:br/>
              <w:t>F2.2a – Tải lên nhiều ảnh hàng loạt: Bác sĩ chọn hoặc kéo thả nhiều tệp ảnh cùng lúc; hệ thống tự động tải lên và gán chung thẻ phân loại giai đoạn cho toàn bộ tệp.</w:t>
              <w:br/>
              <w:t>F3.3a – Kê đơn từ Mẫu đơn thuốc có sẵn: Bác sĩ chọn mẫu đơn thuốc định sẵn (Ví dụ: Đơn thuốc sau nhổ răng khôn, Đơn thuốc sau phẫu thuật nha chu); hệ thống tự động điền các loại thuốc chuẩn và cho phép bác sĩ điều chỉnh số lượng.</w:t>
              <w:br/>
              <w:t>F4.3a – Thay đổi lịch hẹn tái khám: Khi bệnh nhân có nhu cầu đổi ngày hẹn, Bác sĩ hoặc Lễ tân cập nhật ngày hẹn mới kèm lý do thay đổi.</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Exception</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F1.4a – Dịch vụ trong kế hoạch không còn áp dụng: Bác sĩ chọn dịch vụ đã ngừng hoạt động trong danh mục; hệ thống cảnh báo và yêu cầu chọn dịch vụ thay thế.</w:t>
              <w:br/>
              <w:t>F2.3a – Tệp ảnh không đúng định dạng hoặc vượt quá dung lượng: Bác sĩ tải lên tệp không thuộc định dạng .jpg/.png/.dicom hoặc dung lượng vượt quá 10MB; hệ thống từ chối tải lên và hiển thị thông báo lỗi MSG29.</w:t>
              <w:br/>
              <w:t>F3.4a – Thiếu thông tin liều lượng hoặc cách dùng thuốc: Bác sĩ để trống trường hướng dẫn sử dụng thuốc; hệ thống đánh dấu đỏ viền ô nhập liệu và hiển thị lỗi MSG02.</w:t>
              <w:br/>
              <w:t>F3.4b – Bệnh án đã khóa bất biến (BR-EMR-02): Ca khám đã hoàn tất và chuyển thanh toán; hệ thống chuyển khối đơn thuốc sang chế độ chỉ đọc (Read-only), chỉ cho phép xem và in đơn, ngăn chặn việc thêm thuốc mới hoặc sửa liều lượng.</w:t>
              <w:br/>
              <w:t>F4.4a – Ngày hẹn tái khám không hợp lệ: Bác sĩ chọn ngày trong quá khứ hoặc trùng với ngày khám hiện tại; hệ thống từ chối và hiển thị thông báo lỗi MSG08 ("Ngày hẹn tái khám phải sau ngày khám hiện tại ít nhất 1 ngày").</w:t>
              <w:br/>
              <w:t>E1 – Lỗi máy chủ khi tải tệp ảnh: Hệ thống hiển thị thông báo lỗi MSG13, hủy bỏ tiến trình tải lên và không tạo bản ghi rác trong cơ sở dữ liệu.</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Business Rules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BR-PLAN-01, BR-IMG-01, BR-EMR-01, BR-EMR-02</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Non-Functional Requirements</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1. Hệ thống hỗ trợ nén ảnh thông minh phía máy khách (Client-side compression) để đảm bảo thời gian tải ảnh lên hoàn thành trong vòng 2 giây mà không làm suy giảm chất lượng chẩn đoán nha khoa.</w:t>
              <w:br/>
              <w:t>2. Mẫu in đơn thuốc điện tử phải tuân thủ nghiêm ngặt quy định về mẫu đơn thuốc ngoại trú theo thông tư hiện hành của Bộ Y Tế.</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Priority</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Cao (High)</w:t>
            </w:r>
          </w:p>
        </w:tc>
      </w:tr>
      <w:tr>
        <w:tc>
          <w:tcPr>
            <w:tcW w:type="dxa" w:w="2401"/>
            <w:shd w:fill="FCE4D6" w:val="clear"/>
            <w:tcMar>
              <w:top w:w="80" w:type="dxa"/>
              <w:bottom w:w="80" w:type="dxa"/>
              <w:left w:w="120" w:type="dxa"/>
              <w:right w:w="120" w:type="dxa"/>
            </w:tcMar>
          </w:tcPr>
          <w:p>
            <w:pPr>
              <w:spacing w:line="276" w:lineRule="auto" w:after="40" w:before="20"/>
            </w:pPr>
            <w:r>
              <w:rPr>
                <w:rFonts w:ascii="Calibri" w:hAnsi="Calibri"/>
                <w:b/>
                <w:color w:val="111827"/>
                <w:sz w:val="19"/>
              </w:rPr>
              <w:t>MSG</w:t>
            </w:r>
          </w:p>
        </w:tc>
        <w:tc>
          <w:tcPr>
            <w:tcW w:type="dxa" w:w="7203"/>
            <w:gridSpan w:val="3"/>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line="276" w:lineRule="auto" w:after="40" w:before="20"/>
            </w:pPr>
            <w:r>
              <w:rPr>
                <w:rFonts w:ascii="Calibri" w:hAnsi="Calibri"/>
                <w:color w:val="111827"/>
                <w:sz w:val="19"/>
              </w:rPr>
              <w:t>MSG01, MSG02, MSG08, MSG13, MSG14, MSG20, MSG28, MSG29.</w:t>
            </w:r>
          </w:p>
        </w:tc>
      </w:tr>
    </w:tbl>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4748B"/>
        <w:sz w:val="17"/>
      </w:rPr>
      <w:t>Tài liệu Đặc tả Yêu cầu Phần mềm (SRS - Report 3) — Dự án SEP490 CV-DCMS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